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BE1CC0" w14:textId="04E40A61" w:rsidR="00E71BAC" w:rsidRDefault="00E71BAC" w:rsidP="00F25044">
      <w:pPr>
        <w:pStyle w:val="Heading1"/>
        <w:pageBreakBefore/>
      </w:pPr>
      <w:bookmarkStart w:id="0" w:name="_Toc57057624"/>
      <w:r>
        <w:t xml:space="preserve">Guidehouse </w:t>
      </w:r>
      <w:r w:rsidR="005B2571">
        <w:t xml:space="preserve">Inc. </w:t>
      </w:r>
      <w:r>
        <w:t>Financial Resources Statement</w:t>
      </w:r>
      <w:bookmarkEnd w:id="0"/>
    </w:p>
    <w:p w14:paraId="0E61E5F8" w14:textId="77777777" w:rsidR="00E71BAC" w:rsidRDefault="00E71BAC" w:rsidP="00F25044">
      <w:pPr>
        <w:pStyle w:val="Heading2"/>
      </w:pPr>
      <w:bookmarkStart w:id="1" w:name="_Toc57057625"/>
      <w:r>
        <w:t>Audited Financial Statements</w:t>
      </w:r>
      <w:bookmarkEnd w:id="1"/>
    </w:p>
    <w:p w14:paraId="4DF6283B" w14:textId="73078EC1" w:rsidR="00220883" w:rsidRDefault="00220883" w:rsidP="003629DD">
      <w:pPr>
        <w:pStyle w:val="GHBodytext"/>
        <w:jc w:val="both"/>
      </w:pPr>
      <w:r>
        <w:t xml:space="preserve">Guidehouse Holding Corporation (collectively with its subsidiaries, “Guidehouse”, “We” or the “Company”) is a specialized, global professional services firm that serves public and commercial clients primarily in the healthcare, energy, financial services, national </w:t>
      </w:r>
      <w:proofErr w:type="gramStart"/>
      <w:r>
        <w:t>security</w:t>
      </w:r>
      <w:proofErr w:type="gramEnd"/>
      <w:r>
        <w:t xml:space="preserve"> and defense industries across a range of advisory, consulting, outsourcing and technology/analytics services in the United States and internationally. Guidehouse Holding Corporation was incorporated in the state of Delaware on February 8, 2018.</w:t>
      </w:r>
      <w:r w:rsidR="00806E5D">
        <w:t xml:space="preserve">  Through other </w:t>
      </w:r>
      <w:r w:rsidR="00D4589C">
        <w:t xml:space="preserve">intermediary </w:t>
      </w:r>
      <w:r w:rsidR="00806E5D">
        <w:t>holding companies, Guidehouse wholly owns Guidehouse LLP and its subsidiary, Guidehouse Inc.</w:t>
      </w:r>
      <w:r w:rsidR="002A28DC">
        <w:t xml:space="preserve">  </w:t>
      </w:r>
      <w:r w:rsidR="0036034B">
        <w:t xml:space="preserve">Its </w:t>
      </w:r>
      <w:r w:rsidR="002A28DC">
        <w:t xml:space="preserve">Guidehouse, Inc. </w:t>
      </w:r>
      <w:r w:rsidR="0036034B">
        <w:t>subsidiary c</w:t>
      </w:r>
      <w:r w:rsidR="008C007E">
        <w:t>omprise</w:t>
      </w:r>
      <w:r w:rsidR="002A28DC">
        <w:t>s</w:t>
      </w:r>
      <w:r w:rsidR="008C007E">
        <w:t xml:space="preserve"> effectively all operating results of</w:t>
      </w:r>
      <w:r w:rsidR="00A72D29">
        <w:t xml:space="preserve"> the consolidated</w:t>
      </w:r>
      <w:r w:rsidR="008C007E">
        <w:t xml:space="preserve"> Guidehouse Holding Corporation.</w:t>
      </w:r>
    </w:p>
    <w:p w14:paraId="77724A0E" w14:textId="77777777" w:rsidR="00220883" w:rsidRDefault="00220883" w:rsidP="003629DD">
      <w:pPr>
        <w:pStyle w:val="GHBodytext"/>
        <w:jc w:val="both"/>
      </w:pPr>
    </w:p>
    <w:p w14:paraId="768FE721" w14:textId="13623009" w:rsidR="00220883" w:rsidRDefault="00220883" w:rsidP="003629DD">
      <w:pPr>
        <w:pStyle w:val="GHBodytext"/>
        <w:jc w:val="both"/>
      </w:pPr>
      <w:r>
        <w:t>Guidehouse operates offices in cities within the U.S., Europe, the Middle East and Asia.  Guidehouse’s customers are primarily located in the United States and are substantially comprised of U.S. Government entities, state and local governmental entities, and commercial clients including healthcare providers and payers, utility and energy companies, and financial institutions.  For the year ended December 31, 2021, 2020 and 2019, Guidehouse derived approximately 50, 47 and 69 percent of its revenues from the U.S. Government, respectively.</w:t>
      </w:r>
    </w:p>
    <w:p w14:paraId="09A2DA7F" w14:textId="77777777" w:rsidR="00220883" w:rsidRDefault="00220883" w:rsidP="003629DD">
      <w:pPr>
        <w:pStyle w:val="GHBodytext"/>
        <w:jc w:val="both"/>
      </w:pPr>
    </w:p>
    <w:p w14:paraId="0420261C" w14:textId="35DA81F8" w:rsidR="00220883" w:rsidRDefault="00220883" w:rsidP="003629DD">
      <w:pPr>
        <w:pStyle w:val="GHBodytext"/>
        <w:jc w:val="both"/>
      </w:pPr>
      <w:r>
        <w:t>On May 1, 2018, Guidehouse acquired 100% of the equity interests in PricewaterhouseCoopers Public Sector LLP.  The Company had no operations prior to this transaction and Holdings has no operations other than its ownership of the Company.  On October 11, 2019, Guidehouse acquired 100% of the equity interests of Navigant Consulting, Inc.  Navigant is a professional services firm that primarily serves commercial clients in the healthcare, energy and financial services industries.</w:t>
      </w:r>
      <w:r w:rsidR="00F92C3F">
        <w:t xml:space="preserve"> </w:t>
      </w:r>
      <w:r>
        <w:t xml:space="preserve">On October 15, 2021, Guidehouse acquired 100% of the equity interests in </w:t>
      </w:r>
      <w:proofErr w:type="spellStart"/>
      <w:r>
        <w:t>Dovel</w:t>
      </w:r>
      <w:proofErr w:type="spellEnd"/>
      <w:r>
        <w:t xml:space="preserve"> Technologies LLC.  </w:t>
      </w:r>
      <w:proofErr w:type="spellStart"/>
      <w:r>
        <w:t>Dovel</w:t>
      </w:r>
      <w:proofErr w:type="spellEnd"/>
      <w:r>
        <w:t xml:space="preserve"> is a technology solutions provider serving predominately U.S. public sector clients.</w:t>
      </w:r>
    </w:p>
    <w:p w14:paraId="4D9C15F9" w14:textId="77777777" w:rsidR="00435B19" w:rsidRDefault="00435B19" w:rsidP="0008424A">
      <w:pPr>
        <w:pStyle w:val="GHBodytext"/>
      </w:pPr>
    </w:p>
    <w:p w14:paraId="70E4EECE" w14:textId="1C490FC4" w:rsidR="00C9382F" w:rsidRDefault="00DF1EF5" w:rsidP="00E50BE3">
      <w:pPr>
        <w:pStyle w:val="GHBodytext"/>
        <w:jc w:val="both"/>
      </w:pPr>
      <w:r>
        <w:t>Guidehouse has a December 31 calendar year end and is audited annually.</w:t>
      </w:r>
      <w:r w:rsidRPr="00E10796">
        <w:t xml:space="preserve"> </w:t>
      </w:r>
      <w:r>
        <w:t xml:space="preserve">As a privately held enterprise, our policy is to strictly refrain from issuing financial statements or any detailed financial information to external parties.   </w:t>
      </w:r>
      <w:r w:rsidR="0008424A">
        <w:t>Guidehouse has the necessary financial capacity, working capital, and other resources to perform this contract without assistance from any outside sources</w:t>
      </w:r>
      <w:r>
        <w:t>.</w:t>
      </w:r>
    </w:p>
    <w:p w14:paraId="341D6E85" w14:textId="77777777" w:rsidR="00C9382F" w:rsidRDefault="00C9382F" w:rsidP="00DF1EF5">
      <w:pPr>
        <w:pStyle w:val="GHBodytext"/>
        <w:jc w:val="both"/>
      </w:pPr>
    </w:p>
    <w:p w14:paraId="4A472A3C" w14:textId="77777777" w:rsidR="00E71BAC" w:rsidRDefault="00E71BAC" w:rsidP="003629DD">
      <w:pPr>
        <w:pStyle w:val="Heading2"/>
        <w:jc w:val="both"/>
      </w:pPr>
      <w:bookmarkStart w:id="2" w:name="_Toc57057626"/>
      <w:r>
        <w:t>Financial Statement Information</w:t>
      </w:r>
      <w:bookmarkEnd w:id="2"/>
    </w:p>
    <w:p w14:paraId="272C1345" w14:textId="7B713D2A" w:rsidR="00E71BAC" w:rsidRDefault="00E71BAC" w:rsidP="00E50BE3">
      <w:pPr>
        <w:pStyle w:val="GHBodytext"/>
        <w:jc w:val="both"/>
      </w:pPr>
      <w:r>
        <w:t>Guidehouse’s total fee revenues</w:t>
      </w:r>
      <w:r w:rsidR="00461659">
        <w:t xml:space="preserve"> </w:t>
      </w:r>
      <w:r>
        <w:t>are shown below</w:t>
      </w:r>
      <w:r w:rsidR="00461659">
        <w:t xml:space="preserve"> on a pro forma basis for all past acquisitions</w:t>
      </w:r>
      <w:r>
        <w:t xml:space="preserve">. These revenues exclude any cost reimbursable amounts that are considered revenue for financial statement purposes but do not generate income for the business. </w:t>
      </w:r>
    </w:p>
    <w:p w14:paraId="69526F2D" w14:textId="77777777" w:rsidR="00D12E6F" w:rsidRDefault="00D12E6F" w:rsidP="003629DD">
      <w:pPr>
        <w:pStyle w:val="GHBodytext"/>
        <w:jc w:val="both"/>
      </w:pPr>
    </w:p>
    <w:p w14:paraId="60EBFEE1" w14:textId="401ADFE0" w:rsidR="00E71BAC" w:rsidRDefault="00E71BAC" w:rsidP="003629DD">
      <w:pPr>
        <w:pStyle w:val="GHBullet1"/>
        <w:jc w:val="both"/>
      </w:pPr>
      <w:r>
        <w:t>Year Ended December 31, 20</w:t>
      </w:r>
      <w:r w:rsidR="006B56B9">
        <w:t>20</w:t>
      </w:r>
      <w:r>
        <w:t xml:space="preserve"> - $1.</w:t>
      </w:r>
      <w:r w:rsidR="00C56FA4">
        <w:t>907</w:t>
      </w:r>
      <w:r>
        <w:t xml:space="preserve"> Billion</w:t>
      </w:r>
    </w:p>
    <w:p w14:paraId="253ECBDE" w14:textId="326B5E2C" w:rsidR="008B179C" w:rsidRDefault="00C94165" w:rsidP="003629DD">
      <w:pPr>
        <w:pStyle w:val="GHBullet1"/>
        <w:jc w:val="both"/>
      </w:pPr>
      <w:r>
        <w:t>Year</w:t>
      </w:r>
      <w:r w:rsidR="00E71BAC">
        <w:t xml:space="preserve"> Ended </w:t>
      </w:r>
      <w:r w:rsidR="001F2136">
        <w:t>December</w:t>
      </w:r>
      <w:r w:rsidR="00E71BAC">
        <w:t xml:space="preserve"> 3</w:t>
      </w:r>
      <w:r>
        <w:t>1</w:t>
      </w:r>
      <w:r w:rsidR="00E71BAC">
        <w:t>, 202</w:t>
      </w:r>
      <w:r w:rsidR="006B56B9">
        <w:t>1</w:t>
      </w:r>
      <w:r w:rsidR="00E71BAC">
        <w:t xml:space="preserve"> - $</w:t>
      </w:r>
      <w:r w:rsidR="006B56B9">
        <w:t>2.291</w:t>
      </w:r>
      <w:r w:rsidR="00E71BAC">
        <w:t xml:space="preserve"> </w:t>
      </w:r>
      <w:r w:rsidR="00480F7D">
        <w:t>B</w:t>
      </w:r>
      <w:r w:rsidR="00E71BAC">
        <w:t>illion</w:t>
      </w:r>
    </w:p>
    <w:p w14:paraId="589DDC26" w14:textId="63AB8334" w:rsidR="00E71BAC" w:rsidRDefault="008B179C" w:rsidP="003629DD">
      <w:pPr>
        <w:pStyle w:val="GHBullet1"/>
        <w:jc w:val="both"/>
      </w:pPr>
      <w:r>
        <w:t xml:space="preserve">Year to Date </w:t>
      </w:r>
      <w:r w:rsidR="006B56B9">
        <w:t>March</w:t>
      </w:r>
      <w:r>
        <w:t xml:space="preserve"> 3</w:t>
      </w:r>
      <w:r w:rsidR="006B56B9">
        <w:t>1</w:t>
      </w:r>
      <w:r>
        <w:t>, 202</w:t>
      </w:r>
      <w:r w:rsidR="006B56B9">
        <w:t>2</w:t>
      </w:r>
      <w:r>
        <w:t xml:space="preserve"> - $</w:t>
      </w:r>
      <w:r w:rsidR="006B56B9">
        <w:t>0.580</w:t>
      </w:r>
      <w:r>
        <w:t xml:space="preserve"> Billion</w:t>
      </w:r>
    </w:p>
    <w:p w14:paraId="39D2D213" w14:textId="54186883" w:rsidR="00D12E6F" w:rsidRDefault="00E71BAC" w:rsidP="00E50BE3">
      <w:pPr>
        <w:pStyle w:val="GHBodytext"/>
        <w:jc w:val="both"/>
      </w:pPr>
      <w:r>
        <w:t xml:space="preserve">The business generates positive cash and is </w:t>
      </w:r>
      <w:r w:rsidR="003307E4">
        <w:t xml:space="preserve">consistently </w:t>
      </w:r>
      <w:r>
        <w:t xml:space="preserve">profitable on an EBITDA (Earnings before interest, tax, depreciation and amortization) basis. </w:t>
      </w:r>
    </w:p>
    <w:p w14:paraId="3B13728D" w14:textId="5DC7F305" w:rsidR="00E71BAC" w:rsidRDefault="00E71BAC" w:rsidP="00D9374F">
      <w:pPr>
        <w:pStyle w:val="GHBodytext"/>
        <w:jc w:val="both"/>
      </w:pPr>
      <w:r>
        <w:lastRenderedPageBreak/>
        <w:t xml:space="preserve">For evaluation purposes, interim (unaudited) financial statements for the </w:t>
      </w:r>
      <w:r w:rsidR="008B179C">
        <w:t xml:space="preserve">first </w:t>
      </w:r>
      <w:r>
        <w:t>quarter of the fiscal year which began on January 1, 202</w:t>
      </w:r>
      <w:r w:rsidR="00EC05F9">
        <w:t>2</w:t>
      </w:r>
      <w:r>
        <w:t xml:space="preserve">, are shown in </w:t>
      </w:r>
      <w:r w:rsidR="00F25044" w:rsidRPr="00F25044">
        <w:rPr>
          <w:b/>
          <w:bCs/>
        </w:rPr>
        <w:fldChar w:fldCharType="begin"/>
      </w:r>
      <w:r w:rsidR="00F25044" w:rsidRPr="00F25044">
        <w:rPr>
          <w:b/>
          <w:bCs/>
        </w:rPr>
        <w:instrText xml:space="preserve"> REF _Ref57052017 \r \h </w:instrText>
      </w:r>
      <w:r w:rsidR="00F25044">
        <w:rPr>
          <w:b/>
          <w:bCs/>
        </w:rPr>
        <w:instrText xml:space="preserve"> \* MERGEFORMAT </w:instrText>
      </w:r>
      <w:r w:rsidR="00F25044" w:rsidRPr="00F25044">
        <w:rPr>
          <w:b/>
          <w:bCs/>
        </w:rPr>
      </w:r>
      <w:r w:rsidR="00F25044" w:rsidRPr="00F25044">
        <w:rPr>
          <w:b/>
          <w:bCs/>
        </w:rPr>
        <w:fldChar w:fldCharType="separate"/>
      </w:r>
      <w:r w:rsidR="004F465C">
        <w:rPr>
          <w:b/>
          <w:bCs/>
        </w:rPr>
        <w:t>Table 1</w:t>
      </w:r>
      <w:r w:rsidR="00F25044" w:rsidRPr="00F25044">
        <w:rPr>
          <w:b/>
          <w:bCs/>
        </w:rPr>
        <w:fldChar w:fldCharType="end"/>
      </w:r>
      <w:r>
        <w:t xml:space="preserve">, </w:t>
      </w:r>
      <w:r w:rsidR="00F25044" w:rsidRPr="00F25044">
        <w:rPr>
          <w:b/>
          <w:bCs/>
        </w:rPr>
        <w:fldChar w:fldCharType="begin"/>
      </w:r>
      <w:r w:rsidR="00F25044" w:rsidRPr="00F25044">
        <w:rPr>
          <w:b/>
          <w:bCs/>
        </w:rPr>
        <w:instrText xml:space="preserve"> REF _Ref57052027 \r \h </w:instrText>
      </w:r>
      <w:r w:rsidR="00F25044">
        <w:rPr>
          <w:b/>
          <w:bCs/>
        </w:rPr>
        <w:instrText xml:space="preserve"> \* MERGEFORMAT </w:instrText>
      </w:r>
      <w:r w:rsidR="00F25044" w:rsidRPr="00F25044">
        <w:rPr>
          <w:b/>
          <w:bCs/>
        </w:rPr>
      </w:r>
      <w:r w:rsidR="00F25044" w:rsidRPr="00F25044">
        <w:rPr>
          <w:b/>
          <w:bCs/>
        </w:rPr>
        <w:fldChar w:fldCharType="separate"/>
      </w:r>
      <w:r w:rsidR="004F465C">
        <w:rPr>
          <w:b/>
          <w:bCs/>
        </w:rPr>
        <w:t>Table 2</w:t>
      </w:r>
      <w:r w:rsidR="00F25044" w:rsidRPr="00F25044">
        <w:rPr>
          <w:b/>
          <w:bCs/>
        </w:rPr>
        <w:fldChar w:fldCharType="end"/>
      </w:r>
      <w:r w:rsidR="00F25044">
        <w:t xml:space="preserve">, </w:t>
      </w:r>
      <w:r>
        <w:t xml:space="preserve">and </w:t>
      </w:r>
      <w:r w:rsidR="00F25044" w:rsidRPr="00F25044">
        <w:rPr>
          <w:b/>
          <w:bCs/>
        </w:rPr>
        <w:fldChar w:fldCharType="begin"/>
      </w:r>
      <w:r w:rsidR="00F25044" w:rsidRPr="00F25044">
        <w:rPr>
          <w:b/>
          <w:bCs/>
        </w:rPr>
        <w:instrText xml:space="preserve"> REF _Ref57052036 \r \h </w:instrText>
      </w:r>
      <w:r w:rsidR="00F25044">
        <w:rPr>
          <w:b/>
          <w:bCs/>
        </w:rPr>
        <w:instrText xml:space="preserve"> \* MERGEFORMAT </w:instrText>
      </w:r>
      <w:r w:rsidR="00F25044" w:rsidRPr="00F25044">
        <w:rPr>
          <w:b/>
          <w:bCs/>
        </w:rPr>
      </w:r>
      <w:r w:rsidR="00F25044" w:rsidRPr="00F25044">
        <w:rPr>
          <w:b/>
          <w:bCs/>
        </w:rPr>
        <w:fldChar w:fldCharType="separate"/>
      </w:r>
      <w:r w:rsidR="004F465C">
        <w:rPr>
          <w:b/>
          <w:bCs/>
        </w:rPr>
        <w:t>Table 3</w:t>
      </w:r>
      <w:r w:rsidR="00F25044" w:rsidRPr="00F25044">
        <w:rPr>
          <w:b/>
          <w:bCs/>
        </w:rPr>
        <w:fldChar w:fldCharType="end"/>
      </w:r>
      <w:r>
        <w:t>.</w:t>
      </w:r>
      <w:r w:rsidR="00843153">
        <w:t xml:space="preserve"> </w:t>
      </w:r>
    </w:p>
    <w:p w14:paraId="621A8102" w14:textId="2DD40DAF" w:rsidR="00843153" w:rsidRDefault="00843153" w:rsidP="00E71BAC">
      <w:pPr>
        <w:pStyle w:val="GHBodytext"/>
      </w:pPr>
    </w:p>
    <w:p w14:paraId="3B1DB1E4" w14:textId="294C21F8" w:rsidR="00843153" w:rsidRDefault="00843153" w:rsidP="00E71BAC">
      <w:pPr>
        <w:pStyle w:val="GHBodytext"/>
      </w:pPr>
    </w:p>
    <w:p w14:paraId="68BFE67B" w14:textId="77777777" w:rsidR="00843153" w:rsidRDefault="00843153" w:rsidP="00E71BAC">
      <w:pPr>
        <w:pStyle w:val="GHBodytext"/>
      </w:pPr>
    </w:p>
    <w:tbl>
      <w:tblPr>
        <w:tblW w:w="9360" w:type="dxa"/>
        <w:jc w:val="center"/>
        <w:tblBorders>
          <w:top w:val="single" w:sz="4" w:space="0" w:color="8C8C8C"/>
          <w:left w:val="single" w:sz="4" w:space="0" w:color="8C8C8C"/>
          <w:bottom w:val="single" w:sz="4" w:space="0" w:color="8C8C8C"/>
          <w:right w:val="single" w:sz="4" w:space="0" w:color="8C8C8C"/>
          <w:insideH w:val="single" w:sz="4" w:space="0" w:color="8C8C8C"/>
          <w:insideV w:val="single" w:sz="4" w:space="0" w:color="8C8C8C"/>
        </w:tblBorders>
        <w:tblLayout w:type="fixed"/>
        <w:tblCellMar>
          <w:left w:w="58" w:type="dxa"/>
          <w:right w:w="58" w:type="dxa"/>
        </w:tblCellMar>
        <w:tblLook w:val="04A0" w:firstRow="1" w:lastRow="0" w:firstColumn="1" w:lastColumn="0" w:noHBand="0" w:noVBand="1"/>
      </w:tblPr>
      <w:tblGrid>
        <w:gridCol w:w="7825"/>
        <w:gridCol w:w="1535"/>
      </w:tblGrid>
      <w:tr w:rsidR="00F25044" w:rsidRPr="00F25044" w14:paraId="49D92DDC" w14:textId="77777777" w:rsidTr="00F25044">
        <w:trPr>
          <w:tblHeader/>
          <w:jc w:val="center"/>
        </w:trPr>
        <w:tc>
          <w:tcPr>
            <w:tcW w:w="9360" w:type="dxa"/>
            <w:gridSpan w:val="2"/>
            <w:tcBorders>
              <w:top w:val="nil"/>
              <w:left w:val="nil"/>
              <w:right w:val="nil"/>
            </w:tcBorders>
            <w:shd w:val="clear" w:color="auto" w:fill="auto"/>
            <w:vAlign w:val="center"/>
          </w:tcPr>
          <w:p w14:paraId="741E4F68" w14:textId="77777777" w:rsidR="00F25044" w:rsidRPr="00F25044" w:rsidRDefault="00F25044" w:rsidP="000B7E4A">
            <w:pPr>
              <w:pStyle w:val="GHTableCaption"/>
            </w:pPr>
            <w:bookmarkStart w:id="3" w:name="_Ref57052017"/>
            <w:bookmarkStart w:id="4" w:name="_Toc57057565"/>
            <w:r w:rsidRPr="00F25044">
              <w:t>Summary Balance Sheet</w:t>
            </w:r>
            <w:bookmarkEnd w:id="3"/>
            <w:bookmarkEnd w:id="4"/>
          </w:p>
        </w:tc>
      </w:tr>
      <w:tr w:rsidR="00F25044" w:rsidRPr="00F25044" w14:paraId="2CC60A2F" w14:textId="77777777" w:rsidTr="00F25044">
        <w:trPr>
          <w:tblHeader/>
          <w:jc w:val="center"/>
        </w:trPr>
        <w:tc>
          <w:tcPr>
            <w:tcW w:w="9360" w:type="dxa"/>
            <w:gridSpan w:val="2"/>
            <w:tcBorders>
              <w:bottom w:val="single" w:sz="4" w:space="0" w:color="8C8C8C"/>
            </w:tcBorders>
            <w:shd w:val="clear" w:color="auto" w:fill="93D500"/>
            <w:vAlign w:val="center"/>
          </w:tcPr>
          <w:p w14:paraId="2BC12C1C" w14:textId="5B6F4075" w:rsidR="00F25044" w:rsidRPr="00F25044" w:rsidRDefault="00F25044" w:rsidP="00F25044">
            <w:pPr>
              <w:pStyle w:val="GHTableheader"/>
              <w:jc w:val="center"/>
            </w:pPr>
            <w:r w:rsidRPr="00F25044">
              <w:t>CY202</w:t>
            </w:r>
            <w:r w:rsidR="00EC05F9">
              <w:t>2</w:t>
            </w:r>
            <w:r w:rsidRPr="00F25044">
              <w:t xml:space="preserve"> – As of </w:t>
            </w:r>
            <w:r w:rsidR="00EC05F9">
              <w:t>March</w:t>
            </w:r>
            <w:r w:rsidR="003774A9" w:rsidRPr="00F25044">
              <w:t xml:space="preserve"> </w:t>
            </w:r>
            <w:r w:rsidRPr="00F25044">
              <w:t>3</w:t>
            </w:r>
            <w:r w:rsidR="00EC05F9">
              <w:t>1</w:t>
            </w:r>
            <w:r w:rsidRPr="00F25044">
              <w:t>, 202</w:t>
            </w:r>
            <w:r w:rsidR="00EC05F9">
              <w:t>2</w:t>
            </w:r>
          </w:p>
        </w:tc>
      </w:tr>
      <w:tr w:rsidR="00F25044" w:rsidRPr="00F25044" w14:paraId="38720D0F" w14:textId="77777777" w:rsidTr="00F25044">
        <w:trPr>
          <w:jc w:val="center"/>
        </w:trPr>
        <w:tc>
          <w:tcPr>
            <w:tcW w:w="9360" w:type="dxa"/>
            <w:gridSpan w:val="2"/>
            <w:shd w:val="clear" w:color="auto" w:fill="C3EC0C"/>
          </w:tcPr>
          <w:p w14:paraId="44818903" w14:textId="77777777" w:rsidR="00F25044" w:rsidRPr="00F25044" w:rsidRDefault="00F25044" w:rsidP="00F25044">
            <w:pPr>
              <w:pStyle w:val="GHTableheader"/>
            </w:pPr>
            <w:r w:rsidRPr="00F25044">
              <w:t>Assets</w:t>
            </w:r>
          </w:p>
        </w:tc>
      </w:tr>
      <w:tr w:rsidR="00F25044" w:rsidRPr="00F25044" w14:paraId="27332812" w14:textId="77777777" w:rsidTr="00F25044">
        <w:trPr>
          <w:jc w:val="center"/>
        </w:trPr>
        <w:tc>
          <w:tcPr>
            <w:tcW w:w="7825" w:type="dxa"/>
            <w:shd w:val="clear" w:color="auto" w:fill="auto"/>
          </w:tcPr>
          <w:p w14:paraId="0A6BD18B" w14:textId="77777777" w:rsidR="00F25044" w:rsidRPr="00F25044" w:rsidRDefault="00F25044" w:rsidP="00F25044">
            <w:pPr>
              <w:pStyle w:val="GHTablebody"/>
              <w:rPr>
                <w:i/>
                <w:iCs/>
              </w:rPr>
            </w:pPr>
            <w:r w:rsidRPr="00F25044">
              <w:rPr>
                <w:i/>
                <w:iCs/>
              </w:rPr>
              <w:t>Current Assets</w:t>
            </w:r>
          </w:p>
        </w:tc>
        <w:tc>
          <w:tcPr>
            <w:tcW w:w="1535" w:type="dxa"/>
            <w:shd w:val="clear" w:color="auto" w:fill="auto"/>
          </w:tcPr>
          <w:p w14:paraId="655273D9" w14:textId="77777777" w:rsidR="00F25044" w:rsidRPr="00F25044" w:rsidRDefault="00F25044" w:rsidP="00F25044">
            <w:pPr>
              <w:pStyle w:val="GHTablebody"/>
              <w:jc w:val="right"/>
            </w:pPr>
          </w:p>
        </w:tc>
      </w:tr>
      <w:tr w:rsidR="00F25044" w:rsidRPr="00F25044" w14:paraId="15E95E87" w14:textId="77777777" w:rsidTr="00F25044">
        <w:trPr>
          <w:jc w:val="center"/>
        </w:trPr>
        <w:tc>
          <w:tcPr>
            <w:tcW w:w="7825" w:type="dxa"/>
            <w:shd w:val="clear" w:color="auto" w:fill="auto"/>
          </w:tcPr>
          <w:p w14:paraId="70950504" w14:textId="77777777" w:rsidR="00F25044" w:rsidRPr="00F25044" w:rsidRDefault="00F25044" w:rsidP="00F25044">
            <w:pPr>
              <w:pStyle w:val="GHTablebody"/>
            </w:pPr>
            <w:r w:rsidRPr="00F25044">
              <w:t xml:space="preserve"> Cash &amp; Cash Equivalents</w:t>
            </w:r>
          </w:p>
        </w:tc>
        <w:tc>
          <w:tcPr>
            <w:tcW w:w="1535" w:type="dxa"/>
            <w:shd w:val="clear" w:color="auto" w:fill="auto"/>
          </w:tcPr>
          <w:p w14:paraId="1FEE596D" w14:textId="4A88AD76" w:rsidR="00F25044" w:rsidRPr="00F25044" w:rsidRDefault="0052777D" w:rsidP="0086200E">
            <w:pPr>
              <w:pStyle w:val="GHTablebody"/>
              <w:jc w:val="right"/>
            </w:pPr>
            <w:r>
              <w:t>184,392</w:t>
            </w:r>
          </w:p>
        </w:tc>
      </w:tr>
      <w:tr w:rsidR="00F25044" w:rsidRPr="00F25044" w14:paraId="16ADCB31" w14:textId="77777777" w:rsidTr="00F25044">
        <w:trPr>
          <w:jc w:val="center"/>
        </w:trPr>
        <w:tc>
          <w:tcPr>
            <w:tcW w:w="7825" w:type="dxa"/>
            <w:shd w:val="clear" w:color="auto" w:fill="auto"/>
          </w:tcPr>
          <w:p w14:paraId="34DC0FCD" w14:textId="77777777" w:rsidR="00F25044" w:rsidRPr="00F25044" w:rsidRDefault="00F25044" w:rsidP="00F25044">
            <w:pPr>
              <w:pStyle w:val="GHTablebody"/>
            </w:pPr>
            <w:r w:rsidRPr="00F25044">
              <w:t xml:space="preserve"> Accounts Receivable</w:t>
            </w:r>
          </w:p>
        </w:tc>
        <w:tc>
          <w:tcPr>
            <w:tcW w:w="1535" w:type="dxa"/>
            <w:shd w:val="clear" w:color="auto" w:fill="auto"/>
          </w:tcPr>
          <w:p w14:paraId="7956EC22" w14:textId="4368B860" w:rsidR="00F25044" w:rsidRPr="00F25044" w:rsidRDefault="0052777D" w:rsidP="00F25044">
            <w:pPr>
              <w:pStyle w:val="GHTablebody"/>
              <w:jc w:val="right"/>
            </w:pPr>
            <w:r>
              <w:t>417,866</w:t>
            </w:r>
          </w:p>
        </w:tc>
      </w:tr>
      <w:tr w:rsidR="00F25044" w:rsidRPr="00F25044" w14:paraId="2EF4FCCF" w14:textId="77777777" w:rsidTr="00F25044">
        <w:trPr>
          <w:jc w:val="center"/>
        </w:trPr>
        <w:tc>
          <w:tcPr>
            <w:tcW w:w="7825" w:type="dxa"/>
            <w:shd w:val="clear" w:color="auto" w:fill="auto"/>
          </w:tcPr>
          <w:p w14:paraId="2458CD93" w14:textId="77777777" w:rsidR="00F25044" w:rsidRPr="00F25044" w:rsidRDefault="00F25044" w:rsidP="00F25044">
            <w:pPr>
              <w:pStyle w:val="GHTablebody"/>
            </w:pPr>
            <w:r w:rsidRPr="00F25044">
              <w:t xml:space="preserve"> Prepaid and other assets</w:t>
            </w:r>
          </w:p>
        </w:tc>
        <w:tc>
          <w:tcPr>
            <w:tcW w:w="1535" w:type="dxa"/>
            <w:shd w:val="clear" w:color="auto" w:fill="auto"/>
          </w:tcPr>
          <w:p w14:paraId="7DD351C5" w14:textId="33FDB9F1" w:rsidR="00F25044" w:rsidRPr="00F25044" w:rsidRDefault="0052777D" w:rsidP="00F25044">
            <w:pPr>
              <w:pStyle w:val="GHTablebody"/>
              <w:jc w:val="right"/>
            </w:pPr>
            <w:r>
              <w:t>36,085</w:t>
            </w:r>
          </w:p>
        </w:tc>
      </w:tr>
      <w:tr w:rsidR="00F25044" w:rsidRPr="00F25044" w14:paraId="1B374683" w14:textId="77777777" w:rsidTr="00F25044">
        <w:trPr>
          <w:jc w:val="center"/>
        </w:trPr>
        <w:tc>
          <w:tcPr>
            <w:tcW w:w="7825" w:type="dxa"/>
            <w:shd w:val="clear" w:color="auto" w:fill="auto"/>
          </w:tcPr>
          <w:p w14:paraId="07936FFD" w14:textId="77777777" w:rsidR="00F25044" w:rsidRPr="00F25044" w:rsidRDefault="00F25044" w:rsidP="00F25044">
            <w:pPr>
              <w:pStyle w:val="GHTablebody"/>
              <w:jc w:val="right"/>
              <w:rPr>
                <w:b/>
                <w:bCs/>
              </w:rPr>
            </w:pPr>
            <w:r w:rsidRPr="00F25044">
              <w:rPr>
                <w:b/>
                <w:bCs/>
              </w:rPr>
              <w:t>Total Current Assets</w:t>
            </w:r>
          </w:p>
        </w:tc>
        <w:tc>
          <w:tcPr>
            <w:tcW w:w="1535" w:type="dxa"/>
            <w:shd w:val="clear" w:color="auto" w:fill="auto"/>
          </w:tcPr>
          <w:p w14:paraId="3E3BE7C5" w14:textId="6E59059C" w:rsidR="00F25044" w:rsidRPr="00F25044" w:rsidRDefault="0052777D" w:rsidP="00F25044">
            <w:pPr>
              <w:pStyle w:val="GHTablebody"/>
              <w:jc w:val="right"/>
              <w:rPr>
                <w:b/>
                <w:bCs/>
              </w:rPr>
            </w:pPr>
            <w:r>
              <w:rPr>
                <w:b/>
                <w:bCs/>
              </w:rPr>
              <w:t>638,342</w:t>
            </w:r>
          </w:p>
        </w:tc>
      </w:tr>
      <w:tr w:rsidR="00F25044" w:rsidRPr="00F25044" w14:paraId="189AA517" w14:textId="77777777" w:rsidTr="00F25044">
        <w:trPr>
          <w:jc w:val="center"/>
        </w:trPr>
        <w:tc>
          <w:tcPr>
            <w:tcW w:w="7825" w:type="dxa"/>
            <w:shd w:val="clear" w:color="auto" w:fill="auto"/>
          </w:tcPr>
          <w:p w14:paraId="3298D02E" w14:textId="77777777" w:rsidR="00F25044" w:rsidRPr="00F25044" w:rsidRDefault="00F25044" w:rsidP="00F25044">
            <w:pPr>
              <w:pStyle w:val="GHTablebody"/>
            </w:pPr>
            <w:r w:rsidRPr="00F25044">
              <w:t xml:space="preserve"> Property and equipment, </w:t>
            </w:r>
          </w:p>
        </w:tc>
        <w:tc>
          <w:tcPr>
            <w:tcW w:w="1535" w:type="dxa"/>
            <w:shd w:val="clear" w:color="auto" w:fill="auto"/>
          </w:tcPr>
          <w:p w14:paraId="2B773E38" w14:textId="12E45439" w:rsidR="00F25044" w:rsidRPr="00F25044" w:rsidRDefault="0052777D" w:rsidP="00F25044">
            <w:pPr>
              <w:pStyle w:val="GHTablebody"/>
              <w:jc w:val="right"/>
            </w:pPr>
            <w:r>
              <w:t>68,743</w:t>
            </w:r>
          </w:p>
        </w:tc>
      </w:tr>
      <w:tr w:rsidR="00F25044" w:rsidRPr="00F25044" w14:paraId="487EC485" w14:textId="77777777" w:rsidTr="00F25044">
        <w:trPr>
          <w:jc w:val="center"/>
        </w:trPr>
        <w:tc>
          <w:tcPr>
            <w:tcW w:w="7825" w:type="dxa"/>
            <w:shd w:val="clear" w:color="auto" w:fill="auto"/>
          </w:tcPr>
          <w:p w14:paraId="7FBC266A" w14:textId="77777777" w:rsidR="00F25044" w:rsidRPr="00F25044" w:rsidRDefault="00F25044" w:rsidP="00F25044">
            <w:pPr>
              <w:pStyle w:val="GHTablebody"/>
            </w:pPr>
            <w:r w:rsidRPr="00F25044">
              <w:t xml:space="preserve"> Purchase intangible asset, net</w:t>
            </w:r>
          </w:p>
        </w:tc>
        <w:tc>
          <w:tcPr>
            <w:tcW w:w="1535" w:type="dxa"/>
            <w:shd w:val="clear" w:color="auto" w:fill="auto"/>
          </w:tcPr>
          <w:p w14:paraId="701AA026" w14:textId="293893B3" w:rsidR="00F25044" w:rsidRPr="00F25044" w:rsidRDefault="0052777D" w:rsidP="00F25044">
            <w:pPr>
              <w:pStyle w:val="GHTablebody"/>
              <w:jc w:val="right"/>
            </w:pPr>
            <w:r>
              <w:t>593,725</w:t>
            </w:r>
          </w:p>
        </w:tc>
      </w:tr>
      <w:tr w:rsidR="00F25044" w:rsidRPr="00F25044" w14:paraId="20FCEB09" w14:textId="77777777" w:rsidTr="00F25044">
        <w:trPr>
          <w:jc w:val="center"/>
        </w:trPr>
        <w:tc>
          <w:tcPr>
            <w:tcW w:w="7825" w:type="dxa"/>
            <w:shd w:val="clear" w:color="auto" w:fill="auto"/>
          </w:tcPr>
          <w:p w14:paraId="4245FFC1" w14:textId="77777777" w:rsidR="00F25044" w:rsidRPr="00F25044" w:rsidRDefault="00F25044" w:rsidP="00F25044">
            <w:pPr>
              <w:pStyle w:val="GHTablebody"/>
            </w:pPr>
            <w:r w:rsidRPr="00F25044">
              <w:t xml:space="preserve"> Goodwill, net</w:t>
            </w:r>
          </w:p>
        </w:tc>
        <w:tc>
          <w:tcPr>
            <w:tcW w:w="1535" w:type="dxa"/>
            <w:shd w:val="clear" w:color="auto" w:fill="auto"/>
          </w:tcPr>
          <w:p w14:paraId="12715600" w14:textId="5CF8450F" w:rsidR="0086200E" w:rsidRPr="00F25044" w:rsidRDefault="0052777D" w:rsidP="0086200E">
            <w:pPr>
              <w:pStyle w:val="GHTablebody"/>
              <w:jc w:val="right"/>
            </w:pPr>
            <w:r>
              <w:t>1,337,656</w:t>
            </w:r>
          </w:p>
        </w:tc>
      </w:tr>
      <w:tr w:rsidR="00F25044" w:rsidRPr="00F25044" w14:paraId="3BB0518C" w14:textId="77777777" w:rsidTr="00F25044">
        <w:trPr>
          <w:jc w:val="center"/>
        </w:trPr>
        <w:tc>
          <w:tcPr>
            <w:tcW w:w="7825" w:type="dxa"/>
            <w:shd w:val="clear" w:color="auto" w:fill="auto"/>
          </w:tcPr>
          <w:p w14:paraId="21D1721E" w14:textId="77777777" w:rsidR="00F25044" w:rsidRPr="00F25044" w:rsidRDefault="00F25044" w:rsidP="00F25044">
            <w:pPr>
              <w:pStyle w:val="GHTablebody"/>
            </w:pPr>
            <w:r w:rsidRPr="00F25044">
              <w:t>Right of use Asset</w:t>
            </w:r>
          </w:p>
        </w:tc>
        <w:tc>
          <w:tcPr>
            <w:tcW w:w="1535" w:type="dxa"/>
            <w:shd w:val="clear" w:color="auto" w:fill="auto"/>
          </w:tcPr>
          <w:p w14:paraId="7B13A510" w14:textId="4E04952E" w:rsidR="00F25044" w:rsidRPr="00F25044" w:rsidRDefault="0052777D" w:rsidP="00F25044">
            <w:pPr>
              <w:pStyle w:val="GHTablebody"/>
              <w:jc w:val="right"/>
            </w:pPr>
            <w:r>
              <w:t>100,024</w:t>
            </w:r>
          </w:p>
        </w:tc>
      </w:tr>
      <w:tr w:rsidR="00F25044" w:rsidRPr="00F25044" w14:paraId="18B003CF" w14:textId="77777777" w:rsidTr="00F25044">
        <w:trPr>
          <w:jc w:val="center"/>
        </w:trPr>
        <w:tc>
          <w:tcPr>
            <w:tcW w:w="7825" w:type="dxa"/>
            <w:shd w:val="clear" w:color="auto" w:fill="auto"/>
          </w:tcPr>
          <w:p w14:paraId="76352FB6" w14:textId="77777777" w:rsidR="00F25044" w:rsidRPr="00F25044" w:rsidRDefault="00F25044" w:rsidP="00F25044">
            <w:pPr>
              <w:pStyle w:val="GHTablebody"/>
            </w:pPr>
            <w:r w:rsidRPr="00F25044">
              <w:t xml:space="preserve"> Other Non-current Assets</w:t>
            </w:r>
          </w:p>
        </w:tc>
        <w:tc>
          <w:tcPr>
            <w:tcW w:w="1535" w:type="dxa"/>
            <w:shd w:val="clear" w:color="auto" w:fill="auto"/>
          </w:tcPr>
          <w:p w14:paraId="717460BC" w14:textId="29301BF2" w:rsidR="00F25044" w:rsidRPr="00F25044" w:rsidRDefault="0052777D" w:rsidP="00F25044">
            <w:pPr>
              <w:pStyle w:val="GHTablebody"/>
              <w:jc w:val="right"/>
            </w:pPr>
            <w:r>
              <w:t>49,139</w:t>
            </w:r>
          </w:p>
        </w:tc>
      </w:tr>
      <w:tr w:rsidR="00F25044" w:rsidRPr="00F25044" w14:paraId="18938C79" w14:textId="77777777" w:rsidTr="00F25044">
        <w:trPr>
          <w:jc w:val="center"/>
        </w:trPr>
        <w:tc>
          <w:tcPr>
            <w:tcW w:w="7825" w:type="dxa"/>
            <w:shd w:val="clear" w:color="auto" w:fill="auto"/>
          </w:tcPr>
          <w:p w14:paraId="338EEB40" w14:textId="77777777" w:rsidR="00F25044" w:rsidRPr="00F25044" w:rsidRDefault="00F25044" w:rsidP="00F25044">
            <w:pPr>
              <w:pStyle w:val="GHTablebody"/>
            </w:pPr>
            <w:r w:rsidRPr="00F25044">
              <w:t>Deferred dent financing costs, net</w:t>
            </w:r>
          </w:p>
        </w:tc>
        <w:tc>
          <w:tcPr>
            <w:tcW w:w="1535" w:type="dxa"/>
            <w:shd w:val="clear" w:color="auto" w:fill="auto"/>
          </w:tcPr>
          <w:p w14:paraId="0CE3C1EE" w14:textId="77777777" w:rsidR="00F25044" w:rsidRPr="00F25044" w:rsidRDefault="00AB3F84" w:rsidP="00F25044">
            <w:pPr>
              <w:pStyle w:val="GHTablebody"/>
              <w:jc w:val="right"/>
            </w:pPr>
            <w:r>
              <w:t>-</w:t>
            </w:r>
          </w:p>
        </w:tc>
      </w:tr>
      <w:tr w:rsidR="00F25044" w:rsidRPr="00F25044" w14:paraId="20AB71D0" w14:textId="77777777" w:rsidTr="00F25044">
        <w:trPr>
          <w:jc w:val="center"/>
        </w:trPr>
        <w:tc>
          <w:tcPr>
            <w:tcW w:w="7825" w:type="dxa"/>
            <w:tcBorders>
              <w:bottom w:val="single" w:sz="4" w:space="0" w:color="8C8C8C"/>
            </w:tcBorders>
            <w:shd w:val="clear" w:color="auto" w:fill="auto"/>
          </w:tcPr>
          <w:p w14:paraId="6F80BC98" w14:textId="77777777" w:rsidR="00F25044" w:rsidRPr="00F25044" w:rsidRDefault="00F25044" w:rsidP="00F25044">
            <w:pPr>
              <w:pStyle w:val="GHTablebody"/>
              <w:jc w:val="right"/>
              <w:rPr>
                <w:b/>
                <w:bCs/>
              </w:rPr>
            </w:pPr>
            <w:r w:rsidRPr="00F25044">
              <w:rPr>
                <w:b/>
                <w:bCs/>
              </w:rPr>
              <w:t>Total Assets</w:t>
            </w:r>
          </w:p>
        </w:tc>
        <w:tc>
          <w:tcPr>
            <w:tcW w:w="1535" w:type="dxa"/>
            <w:tcBorders>
              <w:bottom w:val="single" w:sz="4" w:space="0" w:color="8C8C8C"/>
            </w:tcBorders>
            <w:shd w:val="clear" w:color="auto" w:fill="auto"/>
          </w:tcPr>
          <w:p w14:paraId="38D00DBA" w14:textId="162CD8D1" w:rsidR="00F25044" w:rsidRPr="00F25044" w:rsidRDefault="0052777D" w:rsidP="00F25044">
            <w:pPr>
              <w:pStyle w:val="GHTablebody"/>
              <w:jc w:val="right"/>
              <w:rPr>
                <w:b/>
                <w:bCs/>
              </w:rPr>
            </w:pPr>
            <w:r>
              <w:rPr>
                <w:b/>
                <w:bCs/>
              </w:rPr>
              <w:t>2,787,629</w:t>
            </w:r>
          </w:p>
        </w:tc>
      </w:tr>
      <w:tr w:rsidR="00F25044" w:rsidRPr="00F25044" w14:paraId="070C9732" w14:textId="77777777" w:rsidTr="00F25044">
        <w:trPr>
          <w:jc w:val="center"/>
        </w:trPr>
        <w:tc>
          <w:tcPr>
            <w:tcW w:w="9360" w:type="dxa"/>
            <w:gridSpan w:val="2"/>
            <w:shd w:val="clear" w:color="auto" w:fill="C3EC0C"/>
          </w:tcPr>
          <w:p w14:paraId="6C39F8D9" w14:textId="77777777" w:rsidR="00F25044" w:rsidRPr="00F25044" w:rsidRDefault="00F25044" w:rsidP="00F25044">
            <w:pPr>
              <w:pStyle w:val="GHTableheader"/>
            </w:pPr>
            <w:r w:rsidRPr="00F25044">
              <w:t>Liabilities &amp; Equity</w:t>
            </w:r>
          </w:p>
        </w:tc>
      </w:tr>
      <w:tr w:rsidR="00F25044" w:rsidRPr="00F25044" w14:paraId="1B8C4EDA" w14:textId="77777777" w:rsidTr="00F25044">
        <w:trPr>
          <w:jc w:val="center"/>
        </w:trPr>
        <w:tc>
          <w:tcPr>
            <w:tcW w:w="7825" w:type="dxa"/>
            <w:shd w:val="clear" w:color="auto" w:fill="auto"/>
          </w:tcPr>
          <w:p w14:paraId="0910FE1B" w14:textId="77777777" w:rsidR="00F25044" w:rsidRPr="00F25044" w:rsidRDefault="00F25044" w:rsidP="00F25044">
            <w:pPr>
              <w:pStyle w:val="GHTablebody"/>
              <w:rPr>
                <w:i/>
                <w:iCs/>
              </w:rPr>
            </w:pPr>
            <w:r w:rsidRPr="00F25044">
              <w:rPr>
                <w:i/>
                <w:iCs/>
              </w:rPr>
              <w:t>Current Liabilities</w:t>
            </w:r>
          </w:p>
        </w:tc>
        <w:tc>
          <w:tcPr>
            <w:tcW w:w="1535" w:type="dxa"/>
            <w:shd w:val="clear" w:color="auto" w:fill="auto"/>
          </w:tcPr>
          <w:p w14:paraId="6BF11A56" w14:textId="77777777" w:rsidR="00F25044" w:rsidRPr="00F25044" w:rsidRDefault="00F25044" w:rsidP="00F25044">
            <w:pPr>
              <w:pStyle w:val="GHTablebody"/>
              <w:jc w:val="right"/>
            </w:pPr>
          </w:p>
        </w:tc>
      </w:tr>
      <w:tr w:rsidR="00F25044" w:rsidRPr="00F25044" w14:paraId="13ACCF07" w14:textId="77777777" w:rsidTr="00F25044">
        <w:trPr>
          <w:jc w:val="center"/>
        </w:trPr>
        <w:tc>
          <w:tcPr>
            <w:tcW w:w="7825" w:type="dxa"/>
            <w:shd w:val="clear" w:color="auto" w:fill="auto"/>
          </w:tcPr>
          <w:p w14:paraId="70B9D38A" w14:textId="77777777" w:rsidR="00F25044" w:rsidRPr="00F25044" w:rsidRDefault="00F25044" w:rsidP="00F25044">
            <w:pPr>
              <w:pStyle w:val="GHTablebody"/>
            </w:pPr>
            <w:r w:rsidRPr="00F25044">
              <w:t xml:space="preserve"> Accounts Payable</w:t>
            </w:r>
          </w:p>
        </w:tc>
        <w:tc>
          <w:tcPr>
            <w:tcW w:w="1535" w:type="dxa"/>
            <w:shd w:val="clear" w:color="auto" w:fill="auto"/>
          </w:tcPr>
          <w:p w14:paraId="23F546E0" w14:textId="0AF823FF" w:rsidR="00F25044" w:rsidRPr="00F25044" w:rsidRDefault="0052777D" w:rsidP="00F25044">
            <w:pPr>
              <w:pStyle w:val="GHTablebody"/>
              <w:jc w:val="right"/>
            </w:pPr>
            <w:r>
              <w:t>57,948</w:t>
            </w:r>
          </w:p>
        </w:tc>
      </w:tr>
      <w:tr w:rsidR="00F25044" w:rsidRPr="00F25044" w14:paraId="1E0AD61A" w14:textId="77777777" w:rsidTr="00F25044">
        <w:trPr>
          <w:jc w:val="center"/>
        </w:trPr>
        <w:tc>
          <w:tcPr>
            <w:tcW w:w="7825" w:type="dxa"/>
            <w:shd w:val="clear" w:color="auto" w:fill="auto"/>
          </w:tcPr>
          <w:p w14:paraId="678EF63D" w14:textId="77777777" w:rsidR="00F25044" w:rsidRPr="00F25044" w:rsidRDefault="00F25044" w:rsidP="00F25044">
            <w:pPr>
              <w:pStyle w:val="GHTablebody"/>
            </w:pPr>
            <w:r w:rsidRPr="00F25044">
              <w:t xml:space="preserve"> Accrued vacation, salaries, benefits and payroll taxes</w:t>
            </w:r>
          </w:p>
        </w:tc>
        <w:tc>
          <w:tcPr>
            <w:tcW w:w="1535" w:type="dxa"/>
            <w:shd w:val="clear" w:color="auto" w:fill="auto"/>
          </w:tcPr>
          <w:p w14:paraId="728972ED" w14:textId="44A58DED" w:rsidR="00F25044" w:rsidRPr="00F25044" w:rsidRDefault="0052777D" w:rsidP="00F25044">
            <w:pPr>
              <w:pStyle w:val="GHTablebody"/>
              <w:jc w:val="right"/>
            </w:pPr>
            <w:r>
              <w:t>114,605</w:t>
            </w:r>
          </w:p>
        </w:tc>
      </w:tr>
      <w:tr w:rsidR="00F25044" w:rsidRPr="00F25044" w14:paraId="52BDD99C" w14:textId="77777777" w:rsidTr="00F25044">
        <w:trPr>
          <w:jc w:val="center"/>
        </w:trPr>
        <w:tc>
          <w:tcPr>
            <w:tcW w:w="7825" w:type="dxa"/>
            <w:shd w:val="clear" w:color="auto" w:fill="auto"/>
          </w:tcPr>
          <w:p w14:paraId="20C45B6B" w14:textId="77777777" w:rsidR="00F25044" w:rsidRPr="00F25044" w:rsidRDefault="00F25044" w:rsidP="00F25044">
            <w:pPr>
              <w:pStyle w:val="GHTablebody"/>
            </w:pPr>
            <w:r w:rsidRPr="00F25044">
              <w:t xml:space="preserve"> Current portion of long term debt</w:t>
            </w:r>
          </w:p>
        </w:tc>
        <w:tc>
          <w:tcPr>
            <w:tcW w:w="1535" w:type="dxa"/>
            <w:shd w:val="clear" w:color="auto" w:fill="auto"/>
          </w:tcPr>
          <w:p w14:paraId="27F3E5A6" w14:textId="3597C8E5" w:rsidR="00F25044" w:rsidRPr="00F25044" w:rsidRDefault="0052777D" w:rsidP="00F25044">
            <w:pPr>
              <w:pStyle w:val="GHTablebody"/>
              <w:jc w:val="right"/>
            </w:pPr>
            <w:r>
              <w:t>24,362</w:t>
            </w:r>
          </w:p>
        </w:tc>
      </w:tr>
      <w:tr w:rsidR="00F25044" w:rsidRPr="00F25044" w14:paraId="5B556BE0" w14:textId="77777777" w:rsidTr="00F25044">
        <w:trPr>
          <w:jc w:val="center"/>
        </w:trPr>
        <w:tc>
          <w:tcPr>
            <w:tcW w:w="7825" w:type="dxa"/>
            <w:shd w:val="clear" w:color="auto" w:fill="auto"/>
          </w:tcPr>
          <w:p w14:paraId="58521A60" w14:textId="77777777" w:rsidR="00F25044" w:rsidRPr="00F25044" w:rsidRDefault="00F25044" w:rsidP="00F25044">
            <w:pPr>
              <w:pStyle w:val="GHTablebody"/>
            </w:pPr>
            <w:r w:rsidRPr="00F25044">
              <w:t xml:space="preserve"> Other current liabilities</w:t>
            </w:r>
          </w:p>
        </w:tc>
        <w:tc>
          <w:tcPr>
            <w:tcW w:w="1535" w:type="dxa"/>
            <w:shd w:val="clear" w:color="auto" w:fill="auto"/>
          </w:tcPr>
          <w:p w14:paraId="60CAB382" w14:textId="6ECFC0E9" w:rsidR="00F25044" w:rsidRPr="00F25044" w:rsidRDefault="0052777D" w:rsidP="00F25044">
            <w:pPr>
              <w:pStyle w:val="GHTablebody"/>
              <w:jc w:val="right"/>
            </w:pPr>
            <w:r>
              <w:t>143,593</w:t>
            </w:r>
          </w:p>
        </w:tc>
      </w:tr>
      <w:tr w:rsidR="00F25044" w:rsidRPr="00F25044" w14:paraId="34AE6AB8" w14:textId="77777777" w:rsidTr="00F25044">
        <w:trPr>
          <w:jc w:val="center"/>
        </w:trPr>
        <w:tc>
          <w:tcPr>
            <w:tcW w:w="7825" w:type="dxa"/>
            <w:shd w:val="clear" w:color="auto" w:fill="auto"/>
          </w:tcPr>
          <w:p w14:paraId="77184E8F" w14:textId="77777777" w:rsidR="00F25044" w:rsidRPr="00F25044" w:rsidRDefault="00F25044" w:rsidP="00F25044">
            <w:pPr>
              <w:pStyle w:val="GHTablebody"/>
              <w:jc w:val="right"/>
              <w:rPr>
                <w:b/>
                <w:bCs/>
              </w:rPr>
            </w:pPr>
            <w:r w:rsidRPr="00F25044">
              <w:rPr>
                <w:b/>
                <w:bCs/>
              </w:rPr>
              <w:t>Total Current Liabilities</w:t>
            </w:r>
          </w:p>
        </w:tc>
        <w:tc>
          <w:tcPr>
            <w:tcW w:w="1535" w:type="dxa"/>
            <w:shd w:val="clear" w:color="auto" w:fill="auto"/>
          </w:tcPr>
          <w:p w14:paraId="7A8AAA26" w14:textId="0BE7556B" w:rsidR="00F25044" w:rsidRPr="00F25044" w:rsidRDefault="000323E0" w:rsidP="00F25044">
            <w:pPr>
              <w:pStyle w:val="GHTablebody"/>
              <w:jc w:val="right"/>
              <w:rPr>
                <w:b/>
                <w:bCs/>
              </w:rPr>
            </w:pPr>
            <w:r>
              <w:rPr>
                <w:b/>
                <w:bCs/>
              </w:rPr>
              <w:t>340,509</w:t>
            </w:r>
          </w:p>
        </w:tc>
      </w:tr>
      <w:tr w:rsidR="00F25044" w:rsidRPr="00F25044" w14:paraId="332CA063" w14:textId="77777777" w:rsidTr="00F25044">
        <w:trPr>
          <w:jc w:val="center"/>
        </w:trPr>
        <w:tc>
          <w:tcPr>
            <w:tcW w:w="7825" w:type="dxa"/>
            <w:shd w:val="clear" w:color="auto" w:fill="auto"/>
          </w:tcPr>
          <w:p w14:paraId="2240D283" w14:textId="77777777" w:rsidR="00F25044" w:rsidRPr="00F25044" w:rsidRDefault="00F25044" w:rsidP="00F25044">
            <w:pPr>
              <w:pStyle w:val="GHTablebody"/>
            </w:pPr>
            <w:r w:rsidRPr="00F25044">
              <w:t xml:space="preserve"> Long-term debt, net of current portion</w:t>
            </w:r>
          </w:p>
        </w:tc>
        <w:tc>
          <w:tcPr>
            <w:tcW w:w="1535" w:type="dxa"/>
            <w:shd w:val="clear" w:color="auto" w:fill="auto"/>
          </w:tcPr>
          <w:p w14:paraId="2BD8B1E0" w14:textId="675A738A" w:rsidR="00F25044" w:rsidRPr="00F25044" w:rsidRDefault="000323E0" w:rsidP="00F25044">
            <w:pPr>
              <w:pStyle w:val="GHTablebody"/>
              <w:jc w:val="right"/>
            </w:pPr>
            <w:r>
              <w:t>2,592,067</w:t>
            </w:r>
          </w:p>
        </w:tc>
      </w:tr>
      <w:tr w:rsidR="00F25044" w:rsidRPr="00F25044" w14:paraId="16812C33" w14:textId="77777777" w:rsidTr="00F25044">
        <w:trPr>
          <w:jc w:val="center"/>
        </w:trPr>
        <w:tc>
          <w:tcPr>
            <w:tcW w:w="7825" w:type="dxa"/>
            <w:shd w:val="clear" w:color="auto" w:fill="auto"/>
          </w:tcPr>
          <w:p w14:paraId="5211D0C7" w14:textId="77777777" w:rsidR="00F25044" w:rsidRPr="00F25044" w:rsidRDefault="00F25044" w:rsidP="00F25044">
            <w:pPr>
              <w:pStyle w:val="GHTablebody"/>
            </w:pPr>
            <w:r w:rsidRPr="00F25044">
              <w:t xml:space="preserve"> Other long-term liabilities</w:t>
            </w:r>
          </w:p>
        </w:tc>
        <w:tc>
          <w:tcPr>
            <w:tcW w:w="1535" w:type="dxa"/>
            <w:shd w:val="clear" w:color="auto" w:fill="auto"/>
          </w:tcPr>
          <w:p w14:paraId="108341D4" w14:textId="19C862C6" w:rsidR="00F25044" w:rsidRPr="00F25044" w:rsidRDefault="000323E0" w:rsidP="00F25044">
            <w:pPr>
              <w:pStyle w:val="GHTablebody"/>
              <w:jc w:val="right"/>
            </w:pPr>
            <w:r>
              <w:t>128,659</w:t>
            </w:r>
          </w:p>
        </w:tc>
      </w:tr>
      <w:tr w:rsidR="00F25044" w:rsidRPr="00F25044" w14:paraId="25AA0480" w14:textId="77777777" w:rsidTr="00F25044">
        <w:trPr>
          <w:jc w:val="center"/>
        </w:trPr>
        <w:tc>
          <w:tcPr>
            <w:tcW w:w="7825" w:type="dxa"/>
            <w:shd w:val="clear" w:color="auto" w:fill="auto"/>
          </w:tcPr>
          <w:p w14:paraId="74894D42" w14:textId="77777777" w:rsidR="00F25044" w:rsidRPr="00F25044" w:rsidRDefault="00F25044" w:rsidP="00F25044">
            <w:pPr>
              <w:pStyle w:val="GHTablebody"/>
              <w:jc w:val="right"/>
              <w:rPr>
                <w:b/>
                <w:bCs/>
              </w:rPr>
            </w:pPr>
            <w:r w:rsidRPr="00F25044">
              <w:rPr>
                <w:b/>
                <w:bCs/>
              </w:rPr>
              <w:t>Total Liabilities</w:t>
            </w:r>
          </w:p>
        </w:tc>
        <w:tc>
          <w:tcPr>
            <w:tcW w:w="1535" w:type="dxa"/>
            <w:shd w:val="clear" w:color="auto" w:fill="auto"/>
          </w:tcPr>
          <w:p w14:paraId="5265C7AC" w14:textId="1FECC0B8" w:rsidR="00F25044" w:rsidRPr="00F25044" w:rsidRDefault="000323E0" w:rsidP="00F25044">
            <w:pPr>
              <w:pStyle w:val="GHTablebody"/>
              <w:jc w:val="right"/>
              <w:rPr>
                <w:b/>
                <w:bCs/>
              </w:rPr>
            </w:pPr>
            <w:r>
              <w:rPr>
                <w:b/>
                <w:bCs/>
              </w:rPr>
              <w:t>3,061,234</w:t>
            </w:r>
          </w:p>
        </w:tc>
      </w:tr>
      <w:tr w:rsidR="00F25044" w:rsidRPr="00F25044" w14:paraId="7FE9F059" w14:textId="77777777" w:rsidTr="00F25044">
        <w:trPr>
          <w:jc w:val="center"/>
        </w:trPr>
        <w:tc>
          <w:tcPr>
            <w:tcW w:w="7825" w:type="dxa"/>
            <w:shd w:val="clear" w:color="auto" w:fill="auto"/>
          </w:tcPr>
          <w:p w14:paraId="067B7560" w14:textId="77777777" w:rsidR="00F25044" w:rsidRPr="00F25044" w:rsidRDefault="00F25044" w:rsidP="00F25044">
            <w:pPr>
              <w:pStyle w:val="GHTablebody"/>
            </w:pPr>
            <w:r w:rsidRPr="00F25044">
              <w:t>Equity</w:t>
            </w:r>
          </w:p>
        </w:tc>
        <w:tc>
          <w:tcPr>
            <w:tcW w:w="1535" w:type="dxa"/>
            <w:shd w:val="clear" w:color="auto" w:fill="auto"/>
          </w:tcPr>
          <w:p w14:paraId="4952934E" w14:textId="4805A215" w:rsidR="00F25044" w:rsidRPr="00F25044" w:rsidRDefault="000323E0" w:rsidP="00F25044">
            <w:pPr>
              <w:pStyle w:val="GHTablebody"/>
              <w:jc w:val="right"/>
            </w:pPr>
            <w:r>
              <w:t>(273,605)</w:t>
            </w:r>
          </w:p>
        </w:tc>
      </w:tr>
      <w:tr w:rsidR="00F25044" w:rsidRPr="00F25044" w14:paraId="59FC871E" w14:textId="77777777" w:rsidTr="00F25044">
        <w:trPr>
          <w:jc w:val="center"/>
        </w:trPr>
        <w:tc>
          <w:tcPr>
            <w:tcW w:w="7825" w:type="dxa"/>
            <w:shd w:val="clear" w:color="auto" w:fill="auto"/>
          </w:tcPr>
          <w:p w14:paraId="4CB67E71" w14:textId="77777777" w:rsidR="00F25044" w:rsidRPr="00F25044" w:rsidRDefault="00F25044" w:rsidP="00F25044">
            <w:pPr>
              <w:pStyle w:val="GHTablebody"/>
              <w:jc w:val="right"/>
              <w:rPr>
                <w:b/>
                <w:bCs/>
              </w:rPr>
            </w:pPr>
            <w:r w:rsidRPr="00F25044">
              <w:rPr>
                <w:b/>
                <w:bCs/>
              </w:rPr>
              <w:t>Total Liabilities &amp; Equity</w:t>
            </w:r>
          </w:p>
        </w:tc>
        <w:tc>
          <w:tcPr>
            <w:tcW w:w="1535" w:type="dxa"/>
            <w:shd w:val="clear" w:color="auto" w:fill="auto"/>
          </w:tcPr>
          <w:p w14:paraId="101D957D" w14:textId="673F98DC" w:rsidR="00F25044" w:rsidRPr="00F25044" w:rsidRDefault="000323E0" w:rsidP="00F25044">
            <w:pPr>
              <w:pStyle w:val="GHTablebody"/>
              <w:jc w:val="right"/>
              <w:rPr>
                <w:b/>
                <w:bCs/>
              </w:rPr>
            </w:pPr>
            <w:r>
              <w:rPr>
                <w:b/>
                <w:bCs/>
              </w:rPr>
              <w:t>2,787,629</w:t>
            </w:r>
          </w:p>
        </w:tc>
      </w:tr>
    </w:tbl>
    <w:p w14:paraId="47D87845" w14:textId="77777777" w:rsidR="00F25044" w:rsidRDefault="00F25044" w:rsidP="00F25044">
      <w:pPr>
        <w:pStyle w:val="GHBodytext"/>
      </w:pPr>
    </w:p>
    <w:tbl>
      <w:tblPr>
        <w:tblW w:w="9360" w:type="dxa"/>
        <w:jc w:val="center"/>
        <w:tblBorders>
          <w:top w:val="single" w:sz="4" w:space="0" w:color="8C8C8C"/>
          <w:left w:val="single" w:sz="4" w:space="0" w:color="8C8C8C"/>
          <w:bottom w:val="single" w:sz="4" w:space="0" w:color="8C8C8C"/>
          <w:right w:val="single" w:sz="4" w:space="0" w:color="8C8C8C"/>
          <w:insideH w:val="single" w:sz="4" w:space="0" w:color="8C8C8C"/>
          <w:insideV w:val="single" w:sz="4" w:space="0" w:color="8C8C8C"/>
        </w:tblBorders>
        <w:tblLayout w:type="fixed"/>
        <w:tblCellMar>
          <w:left w:w="58" w:type="dxa"/>
          <w:right w:w="58" w:type="dxa"/>
        </w:tblCellMar>
        <w:tblLook w:val="04A0" w:firstRow="1" w:lastRow="0" w:firstColumn="1" w:lastColumn="0" w:noHBand="0" w:noVBand="1"/>
      </w:tblPr>
      <w:tblGrid>
        <w:gridCol w:w="7825"/>
        <w:gridCol w:w="1535"/>
      </w:tblGrid>
      <w:tr w:rsidR="00F25044" w:rsidRPr="00F25044" w14:paraId="22BDBB50" w14:textId="77777777" w:rsidTr="00F25044">
        <w:trPr>
          <w:tblHeader/>
          <w:jc w:val="center"/>
        </w:trPr>
        <w:tc>
          <w:tcPr>
            <w:tcW w:w="9360" w:type="dxa"/>
            <w:gridSpan w:val="2"/>
            <w:tcBorders>
              <w:top w:val="nil"/>
              <w:left w:val="nil"/>
              <w:right w:val="nil"/>
            </w:tcBorders>
            <w:shd w:val="clear" w:color="auto" w:fill="auto"/>
            <w:vAlign w:val="center"/>
          </w:tcPr>
          <w:p w14:paraId="568AB7E5" w14:textId="77777777" w:rsidR="00F25044" w:rsidRPr="00F25044" w:rsidRDefault="00F25044" w:rsidP="00F25044">
            <w:pPr>
              <w:pStyle w:val="GHTableCaption"/>
            </w:pPr>
            <w:bookmarkStart w:id="5" w:name="_Ref57052027"/>
            <w:bookmarkStart w:id="6" w:name="_Toc57057566"/>
            <w:r w:rsidRPr="00F25044">
              <w:t>Summary Consolidated Income Statement</w:t>
            </w:r>
            <w:bookmarkEnd w:id="5"/>
            <w:bookmarkEnd w:id="6"/>
          </w:p>
        </w:tc>
      </w:tr>
      <w:tr w:rsidR="00F25044" w:rsidRPr="00F25044" w14:paraId="7E654A1A" w14:textId="77777777" w:rsidTr="00F25044">
        <w:trPr>
          <w:tblHeader/>
          <w:jc w:val="center"/>
        </w:trPr>
        <w:tc>
          <w:tcPr>
            <w:tcW w:w="9360" w:type="dxa"/>
            <w:gridSpan w:val="2"/>
            <w:shd w:val="clear" w:color="auto" w:fill="93D500"/>
            <w:vAlign w:val="center"/>
          </w:tcPr>
          <w:p w14:paraId="63C7ADD9" w14:textId="630B5414" w:rsidR="00F25044" w:rsidRPr="00F25044" w:rsidRDefault="00F25044" w:rsidP="00F25044">
            <w:pPr>
              <w:pStyle w:val="GHTableheader"/>
              <w:jc w:val="center"/>
            </w:pPr>
            <w:r w:rsidRPr="00F25044">
              <w:t>CY202</w:t>
            </w:r>
            <w:r w:rsidR="00EC05F9">
              <w:t>2</w:t>
            </w:r>
            <w:r w:rsidRPr="00F25044">
              <w:t xml:space="preserve"> – Year to Date Through </w:t>
            </w:r>
            <w:r w:rsidR="00EC05F9">
              <w:t>March</w:t>
            </w:r>
            <w:r w:rsidRPr="00F25044">
              <w:t xml:space="preserve"> 3</w:t>
            </w:r>
            <w:r w:rsidR="00EC05F9">
              <w:t>1</w:t>
            </w:r>
            <w:r w:rsidRPr="00F25044">
              <w:t>, 202</w:t>
            </w:r>
            <w:r w:rsidR="00EC05F9">
              <w:t>2</w:t>
            </w:r>
          </w:p>
        </w:tc>
      </w:tr>
      <w:tr w:rsidR="00F25044" w:rsidRPr="00F25044" w14:paraId="7FBEC3D6" w14:textId="77777777" w:rsidTr="00F25044">
        <w:trPr>
          <w:jc w:val="center"/>
        </w:trPr>
        <w:tc>
          <w:tcPr>
            <w:tcW w:w="7825" w:type="dxa"/>
            <w:shd w:val="clear" w:color="auto" w:fill="auto"/>
          </w:tcPr>
          <w:p w14:paraId="0ED8B358" w14:textId="77777777" w:rsidR="00F25044" w:rsidRPr="00F25044" w:rsidRDefault="00F25044" w:rsidP="00F25044">
            <w:pPr>
              <w:pStyle w:val="GHTablebody"/>
            </w:pPr>
            <w:r w:rsidRPr="00F25044">
              <w:t>Net sales, adjusted</w:t>
            </w:r>
          </w:p>
        </w:tc>
        <w:tc>
          <w:tcPr>
            <w:tcW w:w="1535" w:type="dxa"/>
            <w:shd w:val="clear" w:color="auto" w:fill="auto"/>
          </w:tcPr>
          <w:p w14:paraId="2A650007" w14:textId="2ADDE018" w:rsidR="00F25044" w:rsidRPr="00F25044" w:rsidRDefault="000323E0" w:rsidP="00F25044">
            <w:pPr>
              <w:pStyle w:val="GHTablebody"/>
              <w:jc w:val="right"/>
            </w:pPr>
            <w:r>
              <w:t>579,937</w:t>
            </w:r>
          </w:p>
        </w:tc>
      </w:tr>
      <w:tr w:rsidR="00F25044" w:rsidRPr="00F25044" w14:paraId="0340BDEA" w14:textId="77777777" w:rsidTr="00F25044">
        <w:trPr>
          <w:jc w:val="center"/>
        </w:trPr>
        <w:tc>
          <w:tcPr>
            <w:tcW w:w="7825" w:type="dxa"/>
            <w:shd w:val="clear" w:color="auto" w:fill="auto"/>
          </w:tcPr>
          <w:p w14:paraId="546BEAE4" w14:textId="77777777" w:rsidR="00F25044" w:rsidRPr="00F25044" w:rsidRDefault="00F25044" w:rsidP="00F25044">
            <w:pPr>
              <w:pStyle w:val="GHTablebody"/>
            </w:pPr>
            <w:r w:rsidRPr="00F25044">
              <w:t xml:space="preserve"> Cost of sales</w:t>
            </w:r>
          </w:p>
        </w:tc>
        <w:tc>
          <w:tcPr>
            <w:tcW w:w="1535" w:type="dxa"/>
            <w:shd w:val="clear" w:color="auto" w:fill="auto"/>
          </w:tcPr>
          <w:p w14:paraId="4B1F1A4C" w14:textId="2635EC2E" w:rsidR="00F25044" w:rsidRPr="00F25044" w:rsidRDefault="000323E0" w:rsidP="00F25044">
            <w:pPr>
              <w:pStyle w:val="GHTablebody"/>
              <w:jc w:val="right"/>
            </w:pPr>
            <w:r>
              <w:t>425,569</w:t>
            </w:r>
          </w:p>
        </w:tc>
      </w:tr>
      <w:tr w:rsidR="00F25044" w:rsidRPr="00F25044" w14:paraId="6BD40EFB" w14:textId="77777777" w:rsidTr="00F25044">
        <w:trPr>
          <w:jc w:val="center"/>
        </w:trPr>
        <w:tc>
          <w:tcPr>
            <w:tcW w:w="7825" w:type="dxa"/>
            <w:shd w:val="clear" w:color="auto" w:fill="auto"/>
          </w:tcPr>
          <w:p w14:paraId="65C2677D" w14:textId="77777777" w:rsidR="00F25044" w:rsidRPr="00F25044" w:rsidRDefault="00F25044" w:rsidP="00F25044">
            <w:pPr>
              <w:pStyle w:val="GHTablebody"/>
            </w:pPr>
            <w:r w:rsidRPr="00F25044">
              <w:t>Gross margin</w:t>
            </w:r>
          </w:p>
        </w:tc>
        <w:tc>
          <w:tcPr>
            <w:tcW w:w="1535" w:type="dxa"/>
            <w:shd w:val="clear" w:color="auto" w:fill="auto"/>
          </w:tcPr>
          <w:p w14:paraId="6E090A11" w14:textId="441CC7A5" w:rsidR="00F25044" w:rsidRPr="00F25044" w:rsidRDefault="000323E0" w:rsidP="00F25044">
            <w:pPr>
              <w:pStyle w:val="GHTablebody"/>
              <w:jc w:val="right"/>
            </w:pPr>
            <w:r>
              <w:t>154,368</w:t>
            </w:r>
          </w:p>
        </w:tc>
      </w:tr>
      <w:tr w:rsidR="00F25044" w:rsidRPr="00F25044" w14:paraId="159C8669" w14:textId="77777777" w:rsidTr="00F25044">
        <w:trPr>
          <w:jc w:val="center"/>
        </w:trPr>
        <w:tc>
          <w:tcPr>
            <w:tcW w:w="7825" w:type="dxa"/>
            <w:shd w:val="clear" w:color="auto" w:fill="auto"/>
          </w:tcPr>
          <w:p w14:paraId="414FA719" w14:textId="77777777" w:rsidR="00F25044" w:rsidRPr="00F25044" w:rsidRDefault="00F25044" w:rsidP="00F25044">
            <w:pPr>
              <w:pStyle w:val="GHTablebody"/>
            </w:pPr>
            <w:r w:rsidRPr="00F25044">
              <w:t>Depreciation and Amortization</w:t>
            </w:r>
          </w:p>
        </w:tc>
        <w:tc>
          <w:tcPr>
            <w:tcW w:w="1535" w:type="dxa"/>
            <w:shd w:val="clear" w:color="auto" w:fill="auto"/>
          </w:tcPr>
          <w:p w14:paraId="27CA43EC" w14:textId="34B357FD" w:rsidR="00F25044" w:rsidRPr="00F25044" w:rsidRDefault="000323E0" w:rsidP="00F25044">
            <w:pPr>
              <w:pStyle w:val="GHTablebody"/>
              <w:jc w:val="right"/>
            </w:pPr>
            <w:r>
              <w:t>31,596</w:t>
            </w:r>
          </w:p>
        </w:tc>
      </w:tr>
      <w:tr w:rsidR="00F25044" w:rsidRPr="00F25044" w14:paraId="1149B65F" w14:textId="77777777" w:rsidTr="00F25044">
        <w:trPr>
          <w:jc w:val="center"/>
        </w:trPr>
        <w:tc>
          <w:tcPr>
            <w:tcW w:w="7825" w:type="dxa"/>
            <w:shd w:val="clear" w:color="auto" w:fill="auto"/>
          </w:tcPr>
          <w:p w14:paraId="30DD1D2C" w14:textId="77777777" w:rsidR="00F25044" w:rsidRPr="002A6291" w:rsidRDefault="00F25044" w:rsidP="00F25044">
            <w:pPr>
              <w:pStyle w:val="GHTablebody"/>
            </w:pPr>
            <w:r w:rsidRPr="002A6291">
              <w:t>SG&amp;A</w:t>
            </w:r>
          </w:p>
        </w:tc>
        <w:tc>
          <w:tcPr>
            <w:tcW w:w="1535" w:type="dxa"/>
            <w:shd w:val="clear" w:color="auto" w:fill="auto"/>
          </w:tcPr>
          <w:p w14:paraId="2DB4EF36" w14:textId="07FAEC1E" w:rsidR="00F25044" w:rsidRPr="002A6291" w:rsidRDefault="000323E0" w:rsidP="00F25044">
            <w:pPr>
              <w:pStyle w:val="GHTablebody"/>
              <w:jc w:val="right"/>
            </w:pPr>
            <w:r>
              <w:t>83,694</w:t>
            </w:r>
          </w:p>
        </w:tc>
      </w:tr>
      <w:tr w:rsidR="00F25044" w:rsidRPr="00F25044" w14:paraId="4A7D93C4" w14:textId="77777777" w:rsidTr="00F25044">
        <w:trPr>
          <w:jc w:val="center"/>
        </w:trPr>
        <w:tc>
          <w:tcPr>
            <w:tcW w:w="7825" w:type="dxa"/>
            <w:shd w:val="clear" w:color="auto" w:fill="auto"/>
          </w:tcPr>
          <w:p w14:paraId="53E6267D" w14:textId="77777777" w:rsidR="00F25044" w:rsidRPr="002A6291" w:rsidRDefault="00F25044" w:rsidP="00F25044">
            <w:pPr>
              <w:pStyle w:val="GHTablebody"/>
            </w:pPr>
            <w:r w:rsidRPr="002A6291">
              <w:t xml:space="preserve"> Total Operating Expenses</w:t>
            </w:r>
          </w:p>
        </w:tc>
        <w:tc>
          <w:tcPr>
            <w:tcW w:w="1535" w:type="dxa"/>
            <w:shd w:val="clear" w:color="auto" w:fill="auto"/>
          </w:tcPr>
          <w:p w14:paraId="3F5F6A4B" w14:textId="6526A16E" w:rsidR="00F25044" w:rsidRPr="002A6291" w:rsidRDefault="000323E0" w:rsidP="00F25044">
            <w:pPr>
              <w:pStyle w:val="GHTablebody"/>
              <w:jc w:val="right"/>
            </w:pPr>
            <w:r>
              <w:t>115,290</w:t>
            </w:r>
          </w:p>
        </w:tc>
      </w:tr>
      <w:tr w:rsidR="00F25044" w:rsidRPr="00F25044" w14:paraId="35322AA2" w14:textId="77777777" w:rsidTr="00F25044">
        <w:trPr>
          <w:jc w:val="center"/>
        </w:trPr>
        <w:tc>
          <w:tcPr>
            <w:tcW w:w="7825" w:type="dxa"/>
            <w:shd w:val="clear" w:color="auto" w:fill="auto"/>
          </w:tcPr>
          <w:p w14:paraId="4E9A9BD8" w14:textId="77777777" w:rsidR="00F25044" w:rsidRPr="00F25044" w:rsidRDefault="00F25044" w:rsidP="00F25044">
            <w:pPr>
              <w:pStyle w:val="GHTablebody"/>
            </w:pPr>
            <w:r w:rsidRPr="00F25044">
              <w:t>Operating Income</w:t>
            </w:r>
          </w:p>
        </w:tc>
        <w:tc>
          <w:tcPr>
            <w:tcW w:w="1535" w:type="dxa"/>
            <w:shd w:val="clear" w:color="auto" w:fill="auto"/>
          </w:tcPr>
          <w:p w14:paraId="1C599EEA" w14:textId="4559BEA3" w:rsidR="00F25044" w:rsidRPr="00F25044" w:rsidRDefault="000323E0" w:rsidP="00F25044">
            <w:pPr>
              <w:pStyle w:val="GHTablebody"/>
              <w:jc w:val="right"/>
            </w:pPr>
            <w:r>
              <w:t>39,078</w:t>
            </w:r>
          </w:p>
        </w:tc>
      </w:tr>
      <w:tr w:rsidR="00F25044" w:rsidRPr="00F25044" w14:paraId="6C25906D" w14:textId="77777777" w:rsidTr="00F25044">
        <w:trPr>
          <w:jc w:val="center"/>
        </w:trPr>
        <w:tc>
          <w:tcPr>
            <w:tcW w:w="7825" w:type="dxa"/>
            <w:shd w:val="clear" w:color="auto" w:fill="auto"/>
          </w:tcPr>
          <w:p w14:paraId="609A6875" w14:textId="77777777" w:rsidR="00F25044" w:rsidRPr="00F25044" w:rsidRDefault="00F25044" w:rsidP="00F25044">
            <w:pPr>
              <w:pStyle w:val="GHTablebody"/>
            </w:pPr>
            <w:r w:rsidRPr="00F25044">
              <w:t>% of Revenue</w:t>
            </w:r>
          </w:p>
        </w:tc>
        <w:tc>
          <w:tcPr>
            <w:tcW w:w="1535" w:type="dxa"/>
            <w:shd w:val="clear" w:color="auto" w:fill="auto"/>
          </w:tcPr>
          <w:p w14:paraId="1EA64804" w14:textId="06F0DD9D" w:rsidR="00F25044" w:rsidRPr="00F25044" w:rsidRDefault="000323E0" w:rsidP="00F25044">
            <w:pPr>
              <w:pStyle w:val="GHTablebody"/>
              <w:jc w:val="right"/>
            </w:pPr>
            <w:r>
              <w:t>6.7%</w:t>
            </w:r>
          </w:p>
        </w:tc>
      </w:tr>
      <w:tr w:rsidR="00F25044" w:rsidRPr="00F25044" w14:paraId="78D64E9B" w14:textId="77777777" w:rsidTr="00F25044">
        <w:trPr>
          <w:jc w:val="center"/>
        </w:trPr>
        <w:tc>
          <w:tcPr>
            <w:tcW w:w="7825" w:type="dxa"/>
            <w:shd w:val="clear" w:color="auto" w:fill="auto"/>
          </w:tcPr>
          <w:p w14:paraId="782290AB" w14:textId="77777777" w:rsidR="00F25044" w:rsidRPr="00F25044" w:rsidRDefault="00F25044" w:rsidP="00F25044">
            <w:pPr>
              <w:pStyle w:val="GHTablebody"/>
            </w:pPr>
            <w:r w:rsidRPr="00F25044">
              <w:t>Interest Income</w:t>
            </w:r>
          </w:p>
        </w:tc>
        <w:tc>
          <w:tcPr>
            <w:tcW w:w="1535" w:type="dxa"/>
            <w:shd w:val="clear" w:color="auto" w:fill="auto"/>
          </w:tcPr>
          <w:p w14:paraId="6114DFB0" w14:textId="75A3D261" w:rsidR="00F25044" w:rsidRPr="00F25044" w:rsidRDefault="000323E0" w:rsidP="00F25044">
            <w:pPr>
              <w:pStyle w:val="GHTablebody"/>
              <w:jc w:val="right"/>
            </w:pPr>
            <w:r>
              <w:t>(99)</w:t>
            </w:r>
          </w:p>
        </w:tc>
      </w:tr>
      <w:tr w:rsidR="00F25044" w:rsidRPr="00F25044" w14:paraId="0ECF73C0" w14:textId="77777777" w:rsidTr="00F25044">
        <w:trPr>
          <w:jc w:val="center"/>
        </w:trPr>
        <w:tc>
          <w:tcPr>
            <w:tcW w:w="7825" w:type="dxa"/>
            <w:shd w:val="clear" w:color="auto" w:fill="auto"/>
          </w:tcPr>
          <w:p w14:paraId="5092912F" w14:textId="77777777" w:rsidR="00F25044" w:rsidRPr="00F25044" w:rsidRDefault="00F25044" w:rsidP="00F25044">
            <w:pPr>
              <w:pStyle w:val="GHTablebody"/>
            </w:pPr>
            <w:r w:rsidRPr="00F25044">
              <w:t>Interest Expense</w:t>
            </w:r>
          </w:p>
        </w:tc>
        <w:tc>
          <w:tcPr>
            <w:tcW w:w="1535" w:type="dxa"/>
            <w:shd w:val="clear" w:color="auto" w:fill="auto"/>
          </w:tcPr>
          <w:p w14:paraId="21D8A21A" w14:textId="0E49D1DF" w:rsidR="00F25044" w:rsidRPr="00F25044" w:rsidRDefault="000323E0" w:rsidP="00F25044">
            <w:pPr>
              <w:pStyle w:val="GHTablebody"/>
              <w:jc w:val="right"/>
            </w:pPr>
            <w:r>
              <w:t>42,449</w:t>
            </w:r>
          </w:p>
        </w:tc>
      </w:tr>
      <w:tr w:rsidR="00F25044" w:rsidRPr="00F25044" w14:paraId="1ECE4C71" w14:textId="77777777" w:rsidTr="00F25044">
        <w:trPr>
          <w:jc w:val="center"/>
        </w:trPr>
        <w:tc>
          <w:tcPr>
            <w:tcW w:w="7825" w:type="dxa"/>
            <w:shd w:val="clear" w:color="auto" w:fill="auto"/>
          </w:tcPr>
          <w:p w14:paraId="479837FC" w14:textId="77777777" w:rsidR="00F25044" w:rsidRPr="00F25044" w:rsidRDefault="00F25044" w:rsidP="00F25044">
            <w:pPr>
              <w:pStyle w:val="GHTablebody"/>
            </w:pPr>
            <w:r w:rsidRPr="00F25044">
              <w:t>Income Tax</w:t>
            </w:r>
          </w:p>
        </w:tc>
        <w:tc>
          <w:tcPr>
            <w:tcW w:w="1535" w:type="dxa"/>
            <w:shd w:val="clear" w:color="auto" w:fill="auto"/>
          </w:tcPr>
          <w:p w14:paraId="35A890F8" w14:textId="73354756" w:rsidR="00F25044" w:rsidRPr="00F25044" w:rsidRDefault="000323E0" w:rsidP="00F25044">
            <w:pPr>
              <w:pStyle w:val="GHTablebody"/>
              <w:jc w:val="right"/>
            </w:pPr>
            <w:r>
              <w:t>1,718</w:t>
            </w:r>
          </w:p>
        </w:tc>
      </w:tr>
      <w:tr w:rsidR="00F25044" w:rsidRPr="00F25044" w14:paraId="39F54311" w14:textId="77777777" w:rsidTr="00F25044">
        <w:trPr>
          <w:jc w:val="center"/>
        </w:trPr>
        <w:tc>
          <w:tcPr>
            <w:tcW w:w="7825" w:type="dxa"/>
            <w:shd w:val="clear" w:color="auto" w:fill="auto"/>
          </w:tcPr>
          <w:p w14:paraId="6B57566D" w14:textId="77777777" w:rsidR="00F25044" w:rsidRPr="00F25044" w:rsidRDefault="00F25044" w:rsidP="00F25044">
            <w:pPr>
              <w:pStyle w:val="GHTablebody"/>
            </w:pPr>
            <w:r w:rsidRPr="00F25044">
              <w:t>Income from non-controlling Interest</w:t>
            </w:r>
          </w:p>
        </w:tc>
        <w:tc>
          <w:tcPr>
            <w:tcW w:w="1535" w:type="dxa"/>
            <w:shd w:val="clear" w:color="auto" w:fill="auto"/>
          </w:tcPr>
          <w:p w14:paraId="109B8977" w14:textId="6ECAD418" w:rsidR="00F25044" w:rsidRPr="00F25044" w:rsidRDefault="000323E0" w:rsidP="00F25044">
            <w:pPr>
              <w:pStyle w:val="GHTablebody"/>
              <w:jc w:val="right"/>
            </w:pPr>
            <w:r>
              <w:t>(16)</w:t>
            </w:r>
          </w:p>
        </w:tc>
      </w:tr>
      <w:tr w:rsidR="00F25044" w:rsidRPr="00F25044" w14:paraId="5087AB57" w14:textId="77777777" w:rsidTr="00F25044">
        <w:trPr>
          <w:jc w:val="center"/>
        </w:trPr>
        <w:tc>
          <w:tcPr>
            <w:tcW w:w="7825" w:type="dxa"/>
            <w:shd w:val="clear" w:color="auto" w:fill="auto"/>
          </w:tcPr>
          <w:p w14:paraId="111ABCCB" w14:textId="77777777" w:rsidR="00F25044" w:rsidRPr="00F25044" w:rsidRDefault="00F25044" w:rsidP="00F25044">
            <w:pPr>
              <w:pStyle w:val="GHTablebody"/>
            </w:pPr>
            <w:r w:rsidRPr="00F25044">
              <w:t>Net Income</w:t>
            </w:r>
          </w:p>
        </w:tc>
        <w:tc>
          <w:tcPr>
            <w:tcW w:w="1535" w:type="dxa"/>
            <w:shd w:val="clear" w:color="auto" w:fill="auto"/>
          </w:tcPr>
          <w:p w14:paraId="49C97483" w14:textId="18A1665E" w:rsidR="00F25044" w:rsidRPr="00F25044" w:rsidRDefault="000323E0" w:rsidP="00F25044">
            <w:pPr>
              <w:pStyle w:val="GHTablebody"/>
              <w:jc w:val="right"/>
            </w:pPr>
            <w:r>
              <w:t>(4,974)</w:t>
            </w:r>
          </w:p>
        </w:tc>
      </w:tr>
      <w:tr w:rsidR="00F25044" w:rsidRPr="00F25044" w14:paraId="797118FC" w14:textId="77777777" w:rsidTr="00F25044">
        <w:trPr>
          <w:jc w:val="center"/>
        </w:trPr>
        <w:tc>
          <w:tcPr>
            <w:tcW w:w="7825" w:type="dxa"/>
            <w:shd w:val="clear" w:color="auto" w:fill="auto"/>
          </w:tcPr>
          <w:p w14:paraId="7FC51C11" w14:textId="77777777" w:rsidR="00F25044" w:rsidRPr="00F25044" w:rsidRDefault="00F25044" w:rsidP="00F25044">
            <w:pPr>
              <w:pStyle w:val="GHTablebody"/>
            </w:pPr>
            <w:r w:rsidRPr="00F25044">
              <w:t>% of Revenue</w:t>
            </w:r>
          </w:p>
        </w:tc>
        <w:tc>
          <w:tcPr>
            <w:tcW w:w="1535" w:type="dxa"/>
            <w:shd w:val="clear" w:color="auto" w:fill="auto"/>
          </w:tcPr>
          <w:p w14:paraId="47D2B4DB" w14:textId="7347A6C9" w:rsidR="00F25044" w:rsidRPr="00F25044" w:rsidRDefault="000323E0" w:rsidP="00F25044">
            <w:pPr>
              <w:pStyle w:val="GHTablebody"/>
              <w:jc w:val="right"/>
            </w:pPr>
            <w:r>
              <w:t>-0.9%</w:t>
            </w:r>
          </w:p>
        </w:tc>
      </w:tr>
      <w:tr w:rsidR="00F25044" w:rsidRPr="00F25044" w14:paraId="28AA124B" w14:textId="77777777" w:rsidTr="00F25044">
        <w:trPr>
          <w:jc w:val="center"/>
        </w:trPr>
        <w:tc>
          <w:tcPr>
            <w:tcW w:w="7825" w:type="dxa"/>
            <w:shd w:val="clear" w:color="auto" w:fill="auto"/>
          </w:tcPr>
          <w:p w14:paraId="02D87D2D" w14:textId="77777777" w:rsidR="00F25044" w:rsidRPr="00F25044" w:rsidRDefault="00F25044" w:rsidP="00F25044">
            <w:pPr>
              <w:pStyle w:val="GHTablebody"/>
            </w:pPr>
            <w:r w:rsidRPr="00F25044">
              <w:t>EBITDA</w:t>
            </w:r>
          </w:p>
        </w:tc>
        <w:tc>
          <w:tcPr>
            <w:tcW w:w="1535" w:type="dxa"/>
            <w:shd w:val="clear" w:color="auto" w:fill="auto"/>
          </w:tcPr>
          <w:p w14:paraId="4646E41D" w14:textId="71BF312E" w:rsidR="00F25044" w:rsidRPr="00F25044" w:rsidRDefault="000323E0" w:rsidP="00F25044">
            <w:pPr>
              <w:pStyle w:val="GHTablebody"/>
              <w:jc w:val="right"/>
              <w:rPr>
                <w:b/>
                <w:bCs/>
              </w:rPr>
            </w:pPr>
            <w:r>
              <w:rPr>
                <w:b/>
                <w:bCs/>
              </w:rPr>
              <w:t>70,674</w:t>
            </w:r>
          </w:p>
        </w:tc>
      </w:tr>
    </w:tbl>
    <w:p w14:paraId="1F8C84FD" w14:textId="034937F6" w:rsidR="00E71BAC" w:rsidRDefault="00E71BAC" w:rsidP="00E71BAC">
      <w:pPr>
        <w:pStyle w:val="GHBodytext"/>
      </w:pPr>
    </w:p>
    <w:p w14:paraId="2AF4822E" w14:textId="77777777" w:rsidR="009C7138" w:rsidRDefault="009C7138" w:rsidP="00E71BAC">
      <w:pPr>
        <w:pStyle w:val="GHBodytext"/>
      </w:pPr>
    </w:p>
    <w:tbl>
      <w:tblPr>
        <w:tblW w:w="9360" w:type="dxa"/>
        <w:jc w:val="center"/>
        <w:tblBorders>
          <w:top w:val="single" w:sz="4" w:space="0" w:color="8C8C8C"/>
          <w:left w:val="single" w:sz="4" w:space="0" w:color="8C8C8C"/>
          <w:bottom w:val="single" w:sz="4" w:space="0" w:color="8C8C8C"/>
          <w:right w:val="single" w:sz="4" w:space="0" w:color="8C8C8C"/>
          <w:insideH w:val="single" w:sz="4" w:space="0" w:color="8C8C8C"/>
          <w:insideV w:val="single" w:sz="4" w:space="0" w:color="8C8C8C"/>
        </w:tblBorders>
        <w:tblLayout w:type="fixed"/>
        <w:tblCellMar>
          <w:left w:w="58" w:type="dxa"/>
          <w:right w:w="58" w:type="dxa"/>
        </w:tblCellMar>
        <w:tblLook w:val="04A0" w:firstRow="1" w:lastRow="0" w:firstColumn="1" w:lastColumn="0" w:noHBand="0" w:noVBand="1"/>
      </w:tblPr>
      <w:tblGrid>
        <w:gridCol w:w="7830"/>
        <w:gridCol w:w="1530"/>
      </w:tblGrid>
      <w:tr w:rsidR="00947B23" w:rsidRPr="00947B23" w14:paraId="02712827" w14:textId="77777777" w:rsidTr="00947B23">
        <w:trPr>
          <w:tblHeader/>
          <w:jc w:val="center"/>
        </w:trPr>
        <w:tc>
          <w:tcPr>
            <w:tcW w:w="9360" w:type="dxa"/>
            <w:gridSpan w:val="2"/>
            <w:tcBorders>
              <w:top w:val="nil"/>
              <w:left w:val="nil"/>
              <w:right w:val="nil"/>
            </w:tcBorders>
            <w:shd w:val="clear" w:color="auto" w:fill="auto"/>
            <w:vAlign w:val="center"/>
          </w:tcPr>
          <w:p w14:paraId="6CD6AB29" w14:textId="77777777" w:rsidR="00947B23" w:rsidRPr="00947B23" w:rsidRDefault="00947B23" w:rsidP="000B7E4A">
            <w:pPr>
              <w:pStyle w:val="GHTableCaption"/>
            </w:pPr>
            <w:bookmarkStart w:id="7" w:name="_Ref57052036"/>
            <w:bookmarkStart w:id="8" w:name="_Toc57057567"/>
            <w:r w:rsidRPr="00947B23">
              <w:lastRenderedPageBreak/>
              <w:t>Summary Consolidated Statement of Cash Flows</w:t>
            </w:r>
            <w:bookmarkEnd w:id="7"/>
            <w:bookmarkEnd w:id="8"/>
          </w:p>
        </w:tc>
      </w:tr>
      <w:tr w:rsidR="008B179C" w:rsidRPr="00947B23" w14:paraId="7F1DF007" w14:textId="77777777" w:rsidTr="00F25044">
        <w:trPr>
          <w:tblHeader/>
          <w:jc w:val="center"/>
        </w:trPr>
        <w:tc>
          <w:tcPr>
            <w:tcW w:w="9360" w:type="dxa"/>
            <w:gridSpan w:val="2"/>
            <w:shd w:val="clear" w:color="auto" w:fill="93D500"/>
            <w:vAlign w:val="center"/>
          </w:tcPr>
          <w:p w14:paraId="4A1E1524" w14:textId="03762468" w:rsidR="008B179C" w:rsidRPr="00947B23" w:rsidRDefault="008B179C" w:rsidP="008B179C">
            <w:pPr>
              <w:pStyle w:val="GHTableheader"/>
              <w:jc w:val="center"/>
            </w:pPr>
            <w:r w:rsidRPr="00F25044">
              <w:t>CY202</w:t>
            </w:r>
            <w:r w:rsidR="00EC05F9">
              <w:t>2</w:t>
            </w:r>
            <w:r w:rsidRPr="00F25044">
              <w:t xml:space="preserve"> – Year to Date Through </w:t>
            </w:r>
            <w:r w:rsidR="00EC05F9">
              <w:t>March</w:t>
            </w:r>
            <w:r w:rsidRPr="00F25044">
              <w:t xml:space="preserve"> 3</w:t>
            </w:r>
            <w:r w:rsidR="00EC05F9">
              <w:t>1</w:t>
            </w:r>
            <w:r w:rsidRPr="00F25044">
              <w:t>, 202</w:t>
            </w:r>
            <w:r w:rsidR="00EC05F9">
              <w:t>2</w:t>
            </w:r>
          </w:p>
        </w:tc>
      </w:tr>
      <w:tr w:rsidR="008B179C" w:rsidRPr="00947B23" w14:paraId="3EEB8B38" w14:textId="77777777" w:rsidTr="00F25044">
        <w:trPr>
          <w:jc w:val="center"/>
        </w:trPr>
        <w:tc>
          <w:tcPr>
            <w:tcW w:w="7830" w:type="dxa"/>
            <w:shd w:val="clear" w:color="auto" w:fill="auto"/>
          </w:tcPr>
          <w:p w14:paraId="3A8E273E" w14:textId="77777777" w:rsidR="008B179C" w:rsidRPr="00947B23" w:rsidRDefault="008B179C" w:rsidP="008B179C">
            <w:pPr>
              <w:pStyle w:val="GHTablebody"/>
            </w:pPr>
            <w:r w:rsidRPr="00947B23">
              <w:t>EDITDA</w:t>
            </w:r>
          </w:p>
        </w:tc>
        <w:tc>
          <w:tcPr>
            <w:tcW w:w="1530" w:type="dxa"/>
            <w:shd w:val="clear" w:color="auto" w:fill="auto"/>
          </w:tcPr>
          <w:p w14:paraId="7A84422C" w14:textId="38F205D8" w:rsidR="008B179C" w:rsidRPr="00947B23" w:rsidRDefault="000323E0" w:rsidP="008B179C">
            <w:pPr>
              <w:pStyle w:val="GHTablebody"/>
              <w:jc w:val="right"/>
            </w:pPr>
            <w:r>
              <w:t>70,674</w:t>
            </w:r>
          </w:p>
        </w:tc>
      </w:tr>
      <w:tr w:rsidR="008B179C" w:rsidRPr="00947B23" w14:paraId="0260479E" w14:textId="77777777" w:rsidTr="00F25044">
        <w:trPr>
          <w:jc w:val="center"/>
        </w:trPr>
        <w:tc>
          <w:tcPr>
            <w:tcW w:w="7830" w:type="dxa"/>
            <w:shd w:val="clear" w:color="auto" w:fill="auto"/>
          </w:tcPr>
          <w:p w14:paraId="6D48B949" w14:textId="77777777" w:rsidR="008B179C" w:rsidRPr="00947B23" w:rsidRDefault="008B179C" w:rsidP="008B179C">
            <w:pPr>
              <w:pStyle w:val="GHTablebody"/>
            </w:pPr>
            <w:r w:rsidRPr="00947B23">
              <w:t xml:space="preserve"> </w:t>
            </w:r>
          </w:p>
        </w:tc>
        <w:tc>
          <w:tcPr>
            <w:tcW w:w="1530" w:type="dxa"/>
            <w:shd w:val="clear" w:color="auto" w:fill="auto"/>
          </w:tcPr>
          <w:p w14:paraId="19F90C79" w14:textId="77777777" w:rsidR="008B179C" w:rsidRPr="00947B23" w:rsidRDefault="008B179C" w:rsidP="008B179C">
            <w:pPr>
              <w:pStyle w:val="GHTablebody"/>
              <w:jc w:val="right"/>
            </w:pPr>
          </w:p>
        </w:tc>
      </w:tr>
      <w:tr w:rsidR="008B179C" w:rsidRPr="00947B23" w14:paraId="4B66BDCA" w14:textId="77777777" w:rsidTr="00F25044">
        <w:trPr>
          <w:jc w:val="center"/>
        </w:trPr>
        <w:tc>
          <w:tcPr>
            <w:tcW w:w="7830" w:type="dxa"/>
            <w:shd w:val="clear" w:color="auto" w:fill="auto"/>
          </w:tcPr>
          <w:p w14:paraId="42A81AB7" w14:textId="77777777" w:rsidR="008B179C" w:rsidRPr="00947B23" w:rsidRDefault="008B179C" w:rsidP="008B179C">
            <w:pPr>
              <w:pStyle w:val="GHTablebody"/>
            </w:pPr>
            <w:r w:rsidRPr="00947B23">
              <w:t>Cash paid for Interest Expense</w:t>
            </w:r>
          </w:p>
        </w:tc>
        <w:tc>
          <w:tcPr>
            <w:tcW w:w="1530" w:type="dxa"/>
            <w:shd w:val="clear" w:color="auto" w:fill="auto"/>
          </w:tcPr>
          <w:p w14:paraId="4615BFAA" w14:textId="56BA999F" w:rsidR="008B179C" w:rsidRPr="00947B23" w:rsidRDefault="000323E0" w:rsidP="008B179C">
            <w:pPr>
              <w:pStyle w:val="GHTablebody"/>
              <w:jc w:val="right"/>
            </w:pPr>
            <w:r>
              <w:t>(41,865)</w:t>
            </w:r>
          </w:p>
        </w:tc>
      </w:tr>
      <w:tr w:rsidR="008B179C" w:rsidRPr="00947B23" w14:paraId="768F680D" w14:textId="77777777" w:rsidTr="00F25044">
        <w:trPr>
          <w:jc w:val="center"/>
        </w:trPr>
        <w:tc>
          <w:tcPr>
            <w:tcW w:w="7830" w:type="dxa"/>
            <w:shd w:val="clear" w:color="auto" w:fill="auto"/>
          </w:tcPr>
          <w:p w14:paraId="3F8BD0D7" w14:textId="77777777" w:rsidR="008B179C" w:rsidRPr="00947B23" w:rsidRDefault="008B179C" w:rsidP="008B179C">
            <w:pPr>
              <w:pStyle w:val="GHTablebody"/>
            </w:pPr>
            <w:r w:rsidRPr="00947B23">
              <w:t>Cash paid for Income Tax</w:t>
            </w:r>
          </w:p>
        </w:tc>
        <w:tc>
          <w:tcPr>
            <w:tcW w:w="1530" w:type="dxa"/>
            <w:shd w:val="clear" w:color="auto" w:fill="auto"/>
          </w:tcPr>
          <w:p w14:paraId="71D79581" w14:textId="04747832" w:rsidR="008B179C" w:rsidRPr="00947B23" w:rsidRDefault="000323E0" w:rsidP="008B179C">
            <w:pPr>
              <w:pStyle w:val="GHTablebody"/>
              <w:jc w:val="right"/>
            </w:pPr>
            <w:r>
              <w:t>(1,314)</w:t>
            </w:r>
          </w:p>
        </w:tc>
      </w:tr>
      <w:tr w:rsidR="00843153" w:rsidRPr="00947B23" w14:paraId="38883482" w14:textId="77777777" w:rsidTr="00F25044">
        <w:trPr>
          <w:jc w:val="center"/>
        </w:trPr>
        <w:tc>
          <w:tcPr>
            <w:tcW w:w="7830" w:type="dxa"/>
            <w:shd w:val="clear" w:color="auto" w:fill="auto"/>
          </w:tcPr>
          <w:p w14:paraId="0B74EE70" w14:textId="465AE7A2" w:rsidR="00843153" w:rsidRPr="00947B23" w:rsidRDefault="00843153" w:rsidP="008B179C">
            <w:pPr>
              <w:pStyle w:val="GHTablebody"/>
            </w:pPr>
            <w:r>
              <w:t>Non-cash stock-based compensation</w:t>
            </w:r>
          </w:p>
        </w:tc>
        <w:tc>
          <w:tcPr>
            <w:tcW w:w="1530" w:type="dxa"/>
            <w:shd w:val="clear" w:color="auto" w:fill="auto"/>
          </w:tcPr>
          <w:p w14:paraId="1FEBEA4C" w14:textId="722B353F" w:rsidR="00843153" w:rsidRDefault="000323E0" w:rsidP="008B179C">
            <w:pPr>
              <w:pStyle w:val="GHTablebody"/>
              <w:jc w:val="right"/>
            </w:pPr>
            <w:r>
              <w:t>1,470</w:t>
            </w:r>
          </w:p>
        </w:tc>
      </w:tr>
      <w:tr w:rsidR="008B179C" w:rsidRPr="00947B23" w14:paraId="6E7F1BF5" w14:textId="77777777" w:rsidTr="00F25044">
        <w:trPr>
          <w:jc w:val="center"/>
        </w:trPr>
        <w:tc>
          <w:tcPr>
            <w:tcW w:w="7830" w:type="dxa"/>
            <w:shd w:val="clear" w:color="auto" w:fill="auto"/>
          </w:tcPr>
          <w:p w14:paraId="7697B407" w14:textId="77777777" w:rsidR="008B179C" w:rsidRPr="00947B23" w:rsidRDefault="008B179C" w:rsidP="008B179C">
            <w:pPr>
              <w:pStyle w:val="GHTablebody"/>
            </w:pPr>
            <w:r w:rsidRPr="00947B23">
              <w:t>Cash generated (used) in working capital</w:t>
            </w:r>
          </w:p>
        </w:tc>
        <w:tc>
          <w:tcPr>
            <w:tcW w:w="1530" w:type="dxa"/>
            <w:shd w:val="clear" w:color="auto" w:fill="auto"/>
          </w:tcPr>
          <w:p w14:paraId="34E273BE" w14:textId="17739FCF" w:rsidR="008B179C" w:rsidRPr="00947B23" w:rsidRDefault="000323E0" w:rsidP="008B179C">
            <w:pPr>
              <w:pStyle w:val="GHTablebody"/>
              <w:jc w:val="right"/>
            </w:pPr>
            <w:r>
              <w:t>(137,617)</w:t>
            </w:r>
          </w:p>
        </w:tc>
      </w:tr>
      <w:tr w:rsidR="008B179C" w:rsidRPr="00947B23" w14:paraId="5462EA56" w14:textId="77777777" w:rsidTr="00F25044">
        <w:trPr>
          <w:jc w:val="center"/>
        </w:trPr>
        <w:tc>
          <w:tcPr>
            <w:tcW w:w="7830" w:type="dxa"/>
            <w:shd w:val="clear" w:color="auto" w:fill="auto"/>
          </w:tcPr>
          <w:p w14:paraId="1D608157" w14:textId="77777777" w:rsidR="008B179C" w:rsidRPr="00947B23" w:rsidRDefault="008B179C" w:rsidP="008B179C">
            <w:pPr>
              <w:pStyle w:val="GHTablebody"/>
            </w:pPr>
            <w:r w:rsidRPr="00947B23">
              <w:t>Cash generated (used) in investing activities</w:t>
            </w:r>
          </w:p>
        </w:tc>
        <w:tc>
          <w:tcPr>
            <w:tcW w:w="1530" w:type="dxa"/>
            <w:shd w:val="clear" w:color="auto" w:fill="auto"/>
          </w:tcPr>
          <w:p w14:paraId="1A4E997C" w14:textId="08080A89" w:rsidR="008B179C" w:rsidRPr="00947B23" w:rsidRDefault="000323E0" w:rsidP="008B179C">
            <w:pPr>
              <w:pStyle w:val="GHTablebody"/>
              <w:jc w:val="right"/>
            </w:pPr>
            <w:r>
              <w:t>(5,831)</w:t>
            </w:r>
          </w:p>
        </w:tc>
      </w:tr>
      <w:tr w:rsidR="008B179C" w:rsidRPr="00947B23" w14:paraId="4A97D1E4" w14:textId="77777777" w:rsidTr="00F25044">
        <w:trPr>
          <w:jc w:val="center"/>
        </w:trPr>
        <w:tc>
          <w:tcPr>
            <w:tcW w:w="7830" w:type="dxa"/>
            <w:shd w:val="clear" w:color="auto" w:fill="auto"/>
          </w:tcPr>
          <w:p w14:paraId="71C4B93C" w14:textId="77777777" w:rsidR="008B179C" w:rsidRPr="00947B23" w:rsidRDefault="008B179C" w:rsidP="008B179C">
            <w:pPr>
              <w:pStyle w:val="GHTablebody"/>
            </w:pPr>
            <w:r w:rsidRPr="00947B23">
              <w:t>Cash generated (used) in financing activities</w:t>
            </w:r>
          </w:p>
        </w:tc>
        <w:tc>
          <w:tcPr>
            <w:tcW w:w="1530" w:type="dxa"/>
            <w:shd w:val="clear" w:color="auto" w:fill="auto"/>
          </w:tcPr>
          <w:p w14:paraId="23032464" w14:textId="4804C7EB" w:rsidR="008B179C" w:rsidRPr="00947B23" w:rsidRDefault="000323E0" w:rsidP="008B179C">
            <w:pPr>
              <w:pStyle w:val="GHTablebody"/>
              <w:jc w:val="right"/>
            </w:pPr>
            <w:r>
              <w:t>(8,695)</w:t>
            </w:r>
          </w:p>
        </w:tc>
      </w:tr>
      <w:tr w:rsidR="008B179C" w:rsidRPr="00947B23" w14:paraId="52F1E4BE" w14:textId="77777777" w:rsidTr="00F25044">
        <w:trPr>
          <w:jc w:val="center"/>
        </w:trPr>
        <w:tc>
          <w:tcPr>
            <w:tcW w:w="7830" w:type="dxa"/>
            <w:shd w:val="clear" w:color="auto" w:fill="auto"/>
          </w:tcPr>
          <w:p w14:paraId="3D5BEF32" w14:textId="77777777" w:rsidR="008B179C" w:rsidRPr="00947B23" w:rsidRDefault="008B179C" w:rsidP="008B179C">
            <w:pPr>
              <w:pStyle w:val="GHTablebody"/>
            </w:pPr>
            <w:r w:rsidRPr="00947B23">
              <w:t>Cash generated (used) in operating activities</w:t>
            </w:r>
          </w:p>
        </w:tc>
        <w:tc>
          <w:tcPr>
            <w:tcW w:w="1530" w:type="dxa"/>
            <w:shd w:val="clear" w:color="auto" w:fill="auto"/>
          </w:tcPr>
          <w:p w14:paraId="0AF42310" w14:textId="7D4019A9" w:rsidR="008B179C" w:rsidRPr="00947B23" w:rsidRDefault="000323E0" w:rsidP="008B179C">
            <w:pPr>
              <w:pStyle w:val="GHTablebody"/>
              <w:jc w:val="right"/>
            </w:pPr>
            <w:r>
              <w:t>(108,653)</w:t>
            </w:r>
          </w:p>
        </w:tc>
      </w:tr>
      <w:tr w:rsidR="008B179C" w:rsidRPr="00947B23" w14:paraId="08FFA468" w14:textId="77777777" w:rsidTr="00F25044">
        <w:trPr>
          <w:jc w:val="center"/>
        </w:trPr>
        <w:tc>
          <w:tcPr>
            <w:tcW w:w="7830" w:type="dxa"/>
            <w:shd w:val="clear" w:color="auto" w:fill="auto"/>
          </w:tcPr>
          <w:p w14:paraId="24E13540" w14:textId="77777777" w:rsidR="008B179C" w:rsidRPr="00947B23" w:rsidRDefault="008B179C" w:rsidP="008B179C">
            <w:pPr>
              <w:pStyle w:val="GHTablebody"/>
            </w:pPr>
          </w:p>
        </w:tc>
        <w:tc>
          <w:tcPr>
            <w:tcW w:w="1530" w:type="dxa"/>
            <w:shd w:val="clear" w:color="auto" w:fill="auto"/>
          </w:tcPr>
          <w:p w14:paraId="6EC4A520" w14:textId="77777777" w:rsidR="008B179C" w:rsidRPr="00947B23" w:rsidRDefault="008B179C" w:rsidP="008B179C">
            <w:pPr>
              <w:pStyle w:val="GHTablebody"/>
              <w:jc w:val="right"/>
            </w:pPr>
          </w:p>
        </w:tc>
      </w:tr>
      <w:tr w:rsidR="008B179C" w:rsidRPr="00947B23" w14:paraId="1C85D388" w14:textId="77777777" w:rsidTr="00F25044">
        <w:trPr>
          <w:jc w:val="center"/>
        </w:trPr>
        <w:tc>
          <w:tcPr>
            <w:tcW w:w="7830" w:type="dxa"/>
            <w:shd w:val="clear" w:color="auto" w:fill="auto"/>
          </w:tcPr>
          <w:p w14:paraId="5252CCEC" w14:textId="77777777" w:rsidR="008B179C" w:rsidRPr="00947B23" w:rsidRDefault="008B179C" w:rsidP="008B179C">
            <w:pPr>
              <w:pStyle w:val="GHTablebody"/>
            </w:pPr>
            <w:r w:rsidRPr="00947B23">
              <w:t>Total cash generated (used)</w:t>
            </w:r>
          </w:p>
        </w:tc>
        <w:tc>
          <w:tcPr>
            <w:tcW w:w="1530" w:type="dxa"/>
            <w:shd w:val="clear" w:color="auto" w:fill="auto"/>
          </w:tcPr>
          <w:p w14:paraId="4D8C5AD7" w14:textId="2EFB259E" w:rsidR="008B179C" w:rsidRPr="00947B23" w:rsidRDefault="000323E0" w:rsidP="008B179C">
            <w:pPr>
              <w:pStyle w:val="GHTablebody"/>
              <w:jc w:val="right"/>
            </w:pPr>
            <w:r>
              <w:t>(123,179)</w:t>
            </w:r>
          </w:p>
        </w:tc>
      </w:tr>
      <w:tr w:rsidR="008B179C" w:rsidRPr="00947B23" w14:paraId="6C564980" w14:textId="77777777" w:rsidTr="00F25044">
        <w:trPr>
          <w:jc w:val="center"/>
        </w:trPr>
        <w:tc>
          <w:tcPr>
            <w:tcW w:w="7830" w:type="dxa"/>
            <w:shd w:val="clear" w:color="auto" w:fill="auto"/>
          </w:tcPr>
          <w:p w14:paraId="5510D1AF" w14:textId="77777777" w:rsidR="008B179C" w:rsidRPr="00947B23" w:rsidRDefault="008B179C" w:rsidP="008B179C">
            <w:pPr>
              <w:pStyle w:val="GHTablebody"/>
            </w:pPr>
          </w:p>
        </w:tc>
        <w:tc>
          <w:tcPr>
            <w:tcW w:w="1530" w:type="dxa"/>
            <w:shd w:val="clear" w:color="auto" w:fill="auto"/>
          </w:tcPr>
          <w:p w14:paraId="01491925" w14:textId="77777777" w:rsidR="008B179C" w:rsidRPr="00947B23" w:rsidRDefault="008B179C" w:rsidP="008B179C">
            <w:pPr>
              <w:pStyle w:val="GHTablebody"/>
              <w:jc w:val="right"/>
            </w:pPr>
          </w:p>
        </w:tc>
      </w:tr>
      <w:tr w:rsidR="008B179C" w:rsidRPr="00947B23" w14:paraId="4B6B76F6" w14:textId="77777777" w:rsidTr="00F25044">
        <w:trPr>
          <w:jc w:val="center"/>
        </w:trPr>
        <w:tc>
          <w:tcPr>
            <w:tcW w:w="7830" w:type="dxa"/>
            <w:shd w:val="clear" w:color="auto" w:fill="auto"/>
          </w:tcPr>
          <w:p w14:paraId="454EA205" w14:textId="77777777" w:rsidR="008B179C" w:rsidRPr="00947B23" w:rsidRDefault="008B179C" w:rsidP="008B179C">
            <w:pPr>
              <w:pStyle w:val="GHTablebody"/>
            </w:pPr>
            <w:r w:rsidRPr="00947B23">
              <w:t>Beginning Cash Balance</w:t>
            </w:r>
          </w:p>
        </w:tc>
        <w:tc>
          <w:tcPr>
            <w:tcW w:w="1530" w:type="dxa"/>
            <w:shd w:val="clear" w:color="auto" w:fill="auto"/>
          </w:tcPr>
          <w:p w14:paraId="74AA7C32" w14:textId="7E68BA05" w:rsidR="008B179C" w:rsidRPr="00947B23" w:rsidRDefault="000323E0" w:rsidP="008B179C">
            <w:pPr>
              <w:pStyle w:val="GHTablebody"/>
              <w:jc w:val="right"/>
            </w:pPr>
            <w:r>
              <w:t>307,571</w:t>
            </w:r>
          </w:p>
        </w:tc>
      </w:tr>
      <w:tr w:rsidR="008B179C" w:rsidRPr="00947B23" w14:paraId="70A53B11" w14:textId="77777777" w:rsidTr="00F25044">
        <w:trPr>
          <w:jc w:val="center"/>
        </w:trPr>
        <w:tc>
          <w:tcPr>
            <w:tcW w:w="7830" w:type="dxa"/>
            <w:shd w:val="clear" w:color="auto" w:fill="auto"/>
          </w:tcPr>
          <w:p w14:paraId="74BF8B50" w14:textId="77777777" w:rsidR="008B179C" w:rsidRPr="00947B23" w:rsidRDefault="008B179C" w:rsidP="008B179C">
            <w:pPr>
              <w:pStyle w:val="GHTablebody"/>
            </w:pPr>
            <w:r w:rsidRPr="00947B23">
              <w:t>Ending Cash Balance</w:t>
            </w:r>
          </w:p>
        </w:tc>
        <w:tc>
          <w:tcPr>
            <w:tcW w:w="1530" w:type="dxa"/>
            <w:shd w:val="clear" w:color="auto" w:fill="auto"/>
          </w:tcPr>
          <w:p w14:paraId="735074FE" w14:textId="48B3EC0A" w:rsidR="008B179C" w:rsidRPr="00947B23" w:rsidRDefault="000323E0" w:rsidP="008B179C">
            <w:pPr>
              <w:pStyle w:val="GHTablebody"/>
              <w:jc w:val="right"/>
            </w:pPr>
            <w:r>
              <w:t>184,392</w:t>
            </w:r>
          </w:p>
        </w:tc>
      </w:tr>
    </w:tbl>
    <w:p w14:paraId="0DD7F2B1" w14:textId="77777777" w:rsidR="00E71BAC" w:rsidRDefault="00E71BAC" w:rsidP="00947B23">
      <w:pPr>
        <w:pStyle w:val="Heading2"/>
      </w:pPr>
      <w:bookmarkStart w:id="9" w:name="_Toc57057627"/>
      <w:r>
        <w:t>Cash Liquidity</w:t>
      </w:r>
      <w:bookmarkEnd w:id="9"/>
    </w:p>
    <w:p w14:paraId="308618FD" w14:textId="017E1078" w:rsidR="00E71BAC" w:rsidRDefault="00E71BAC" w:rsidP="00E71BAC">
      <w:pPr>
        <w:pStyle w:val="GHBodytext"/>
      </w:pPr>
      <w:r w:rsidRPr="00FB25BB">
        <w:t>There are no current borrowings under the revolving credit facility. The Company’s liquidity is adequate to support the working capital requirements of substantial new customer contracts.</w:t>
      </w:r>
    </w:p>
    <w:p w14:paraId="23796D97" w14:textId="77777777" w:rsidR="00E71BAC" w:rsidRDefault="00E71BAC" w:rsidP="00947B23">
      <w:pPr>
        <w:pStyle w:val="Heading2"/>
      </w:pPr>
      <w:bookmarkStart w:id="10" w:name="_Toc57057628"/>
      <w:r>
        <w:t>Audit Conducted in Accordance with OMB A-133 or OMB A-21</w:t>
      </w:r>
      <w:bookmarkEnd w:id="10"/>
    </w:p>
    <w:p w14:paraId="046DFEDE" w14:textId="77777777" w:rsidR="00E71BAC" w:rsidRDefault="00E71BAC" w:rsidP="00E71BAC">
      <w:pPr>
        <w:pStyle w:val="GHBodytext"/>
      </w:pPr>
      <w:r>
        <w:t>Guidehouse has not been subject to audits conducted in accordance with OMB A-133 or OMB A-21 and therefore, this is not applicable.</w:t>
      </w:r>
    </w:p>
    <w:p w14:paraId="0AD7494B" w14:textId="77777777" w:rsidR="00E71BAC" w:rsidRDefault="00E71BAC" w:rsidP="00947B23">
      <w:pPr>
        <w:pStyle w:val="Heading2"/>
      </w:pPr>
      <w:bookmarkStart w:id="11" w:name="_Toc57057629"/>
      <w:r>
        <w:t>Lines of Credit with Lending Institutions</w:t>
      </w:r>
      <w:bookmarkEnd w:id="11"/>
    </w:p>
    <w:p w14:paraId="00237008" w14:textId="0B9E9EA1" w:rsidR="00E71BAC" w:rsidRDefault="00947B23" w:rsidP="00E71BAC">
      <w:pPr>
        <w:pStyle w:val="GHBodytext"/>
      </w:pPr>
      <w:r w:rsidRPr="00947B23">
        <w:rPr>
          <w:b/>
          <w:bCs/>
        </w:rPr>
        <w:fldChar w:fldCharType="begin"/>
      </w:r>
      <w:r w:rsidRPr="00947B23">
        <w:rPr>
          <w:b/>
          <w:bCs/>
        </w:rPr>
        <w:instrText xml:space="preserve"> REF _Ref57051542 \r \h </w:instrText>
      </w:r>
      <w:r>
        <w:rPr>
          <w:b/>
          <w:bCs/>
        </w:rPr>
        <w:instrText xml:space="preserve"> \* MERGEFORMAT </w:instrText>
      </w:r>
      <w:r w:rsidRPr="00947B23">
        <w:rPr>
          <w:b/>
          <w:bCs/>
        </w:rPr>
      </w:r>
      <w:r w:rsidRPr="00947B23">
        <w:rPr>
          <w:b/>
          <w:bCs/>
        </w:rPr>
        <w:fldChar w:fldCharType="separate"/>
      </w:r>
      <w:r w:rsidR="004F465C">
        <w:rPr>
          <w:b/>
          <w:bCs/>
        </w:rPr>
        <w:t>Figure 1</w:t>
      </w:r>
      <w:r w:rsidRPr="00947B23">
        <w:rPr>
          <w:b/>
          <w:bCs/>
        </w:rPr>
        <w:fldChar w:fldCharType="end"/>
      </w:r>
      <w:r w:rsidR="00E71BAC">
        <w:t xml:space="preserve"> shows the following letter</w:t>
      </w:r>
      <w:r w:rsidR="000E5A4C">
        <w:t>s</w:t>
      </w:r>
      <w:r w:rsidR="00E71BAC">
        <w:t xml:space="preserve"> from </w:t>
      </w:r>
      <w:r w:rsidR="000E5A4C">
        <w:t>Citibank, N.A.</w:t>
      </w:r>
      <w:r w:rsidR="00011BEF">
        <w:t xml:space="preserve">, and </w:t>
      </w:r>
      <w:r w:rsidR="008920A4">
        <w:t>Ally Bank</w:t>
      </w:r>
      <w:r w:rsidR="00E71BAC">
        <w:t xml:space="preserve"> validate the </w:t>
      </w:r>
      <w:proofErr w:type="gramStart"/>
      <w:r w:rsidR="00E71BAC">
        <w:t>current status</w:t>
      </w:r>
      <w:proofErr w:type="gramEnd"/>
      <w:r w:rsidR="00E71BAC">
        <w:t xml:space="preserve"> of Guidehouse’s banking relationship</w:t>
      </w:r>
      <w:r w:rsidR="00011BEF">
        <w:t>s</w:t>
      </w:r>
      <w:r w:rsidR="00E71BAC">
        <w:t xml:space="preserve"> and credit facilit</w:t>
      </w:r>
      <w:r w:rsidR="00011BEF">
        <w:t>ies</w:t>
      </w:r>
      <w:r w:rsidR="00E71BAC">
        <w:t>, which further substantiates that Guidehouse has the financial capability to support the estimated yearly amount of the contract.</w:t>
      </w:r>
    </w:p>
    <w:p w14:paraId="6A8D95B5" w14:textId="36AAE754" w:rsidR="00E71BAC" w:rsidRDefault="0037567B" w:rsidP="00947B23">
      <w:pPr>
        <w:pStyle w:val="GHGraphic"/>
      </w:pPr>
      <w:r>
        <w:rPr>
          <w:noProof/>
        </w:rPr>
        <w:lastRenderedPageBreak/>
        <w:drawing>
          <wp:inline distT="0" distB="0" distL="0" distR="0" wp14:anchorId="1F16A086" wp14:editId="697EA867">
            <wp:extent cx="5943600" cy="783780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943600" cy="7837805"/>
                    </a:xfrm>
                    <a:prstGeom prst="rect">
                      <a:avLst/>
                    </a:prstGeom>
                  </pic:spPr>
                </pic:pic>
              </a:graphicData>
            </a:graphic>
          </wp:inline>
        </w:drawing>
      </w:r>
    </w:p>
    <w:p w14:paraId="54B52070" w14:textId="79354091" w:rsidR="00E71BAC" w:rsidRDefault="00E71BAC" w:rsidP="00947B23">
      <w:pPr>
        <w:pStyle w:val="GHFigureCaption"/>
      </w:pPr>
      <w:bookmarkStart w:id="12" w:name="_Ref57051542"/>
      <w:bookmarkStart w:id="13" w:name="_Toc57057545"/>
      <w:r>
        <w:t xml:space="preserve">Letter from </w:t>
      </w:r>
      <w:r w:rsidR="008920A4">
        <w:t>Citibank, N.A</w:t>
      </w:r>
      <w:r w:rsidR="00381A31">
        <w:t>.</w:t>
      </w:r>
      <w:r>
        <w:t xml:space="preserve"> </w:t>
      </w:r>
      <w:r w:rsidR="00AB7111">
        <w:t>v</w:t>
      </w:r>
      <w:r>
        <w:t xml:space="preserve">alidating the </w:t>
      </w:r>
      <w:r w:rsidR="00EB770E">
        <w:t>c</w:t>
      </w:r>
      <w:r>
        <w:t xml:space="preserve">urrent </w:t>
      </w:r>
      <w:r w:rsidR="00EB770E">
        <w:t>s</w:t>
      </w:r>
      <w:r>
        <w:t xml:space="preserve">tatus of Guidehouse’s </w:t>
      </w:r>
      <w:r w:rsidR="00EB770E">
        <w:t>b</w:t>
      </w:r>
      <w:r>
        <w:t xml:space="preserve">anking </w:t>
      </w:r>
      <w:r w:rsidR="00EB770E">
        <w:t>r</w:t>
      </w:r>
      <w:r>
        <w:t xml:space="preserve">elationship </w:t>
      </w:r>
      <w:r w:rsidR="00EB770E">
        <w:t>a</w:t>
      </w:r>
      <w:r>
        <w:t xml:space="preserve">nd </w:t>
      </w:r>
      <w:r w:rsidR="00EB770E">
        <w:t>c</w:t>
      </w:r>
      <w:r>
        <w:t xml:space="preserve">redit </w:t>
      </w:r>
      <w:r w:rsidR="00EB770E">
        <w:t>f</w:t>
      </w:r>
      <w:r>
        <w:t>acility</w:t>
      </w:r>
      <w:bookmarkEnd w:id="12"/>
      <w:bookmarkEnd w:id="13"/>
      <w:r w:rsidR="00381A31">
        <w:t xml:space="preserve"> </w:t>
      </w:r>
    </w:p>
    <w:sectPr w:rsidR="00E71BAC" w:rsidSect="003A06B6">
      <w:headerReference w:type="even" r:id="rId13"/>
      <w:headerReference w:type="default" r:id="rId14"/>
      <w:footerReference w:type="default" r:id="rId15"/>
      <w:pgSz w:w="12240" w:h="15840" w:code="1"/>
      <w:pgMar w:top="1440" w:right="1440" w:bottom="1440" w:left="1440" w:header="720" w:footer="720" w:gutter="0"/>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CBCB16" w14:textId="77777777" w:rsidR="000D2EDB" w:rsidRDefault="000D2EDB">
      <w:r>
        <w:separator/>
      </w:r>
    </w:p>
    <w:p w14:paraId="103B0428" w14:textId="77777777" w:rsidR="000D2EDB" w:rsidRDefault="000D2EDB"/>
  </w:endnote>
  <w:endnote w:type="continuationSeparator" w:id="0">
    <w:p w14:paraId="01E75F6A" w14:textId="77777777" w:rsidR="000D2EDB" w:rsidRDefault="000D2EDB">
      <w:r>
        <w:continuationSeparator/>
      </w:r>
    </w:p>
    <w:p w14:paraId="24441085" w14:textId="77777777" w:rsidR="000D2EDB" w:rsidRDefault="000D2ED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DCA4F0D" w14:textId="77777777" w:rsidR="00247778" w:rsidRPr="000C64C5" w:rsidRDefault="00247778" w:rsidP="008A07D9">
    <w:pPr>
      <w:pStyle w:val="Footer"/>
      <w:ind w:right="360"/>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4D8C2D6" w14:textId="77777777" w:rsidR="000D2EDB" w:rsidRDefault="000D2EDB">
      <w:r>
        <w:separator/>
      </w:r>
    </w:p>
    <w:p w14:paraId="7AB75A6A" w14:textId="77777777" w:rsidR="000D2EDB" w:rsidRDefault="000D2EDB"/>
  </w:footnote>
  <w:footnote w:type="continuationSeparator" w:id="0">
    <w:p w14:paraId="1A01AE3B" w14:textId="77777777" w:rsidR="000D2EDB" w:rsidRDefault="000D2EDB">
      <w:r>
        <w:continuationSeparator/>
      </w:r>
    </w:p>
    <w:p w14:paraId="4D85D12B" w14:textId="77777777" w:rsidR="000D2EDB" w:rsidRDefault="000D2EDB"/>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C8A5C4" w14:textId="77777777" w:rsidR="00247778" w:rsidRDefault="00247778"/>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4A86CF" w14:textId="77777777" w:rsidR="00247778" w:rsidRPr="00EA2170" w:rsidRDefault="00247778" w:rsidP="00EA2170">
    <w:pPr>
      <w:pStyle w:val="Header"/>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CE0213"/>
    <w:multiLevelType w:val="hybridMultilevel"/>
    <w:tmpl w:val="A146AB46"/>
    <w:lvl w:ilvl="0" w:tplc="2C4CEA8E">
      <w:start w:val="1"/>
      <w:numFmt w:val="decimal"/>
      <w:pStyle w:val="GHNumberLevel1"/>
      <w:lvlText w:val="%1."/>
      <w:lvlJc w:val="left"/>
      <w:pPr>
        <w:tabs>
          <w:tab w:val="num" w:pos="360"/>
        </w:tabs>
        <w:ind w:left="36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1C34209"/>
    <w:multiLevelType w:val="hybridMultilevel"/>
    <w:tmpl w:val="2B40A52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 w15:restartNumberingAfterBreak="0">
    <w:nsid w:val="07D36569"/>
    <w:multiLevelType w:val="hybridMultilevel"/>
    <w:tmpl w:val="8242C0D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1894176F"/>
    <w:multiLevelType w:val="hybridMultilevel"/>
    <w:tmpl w:val="36107F2E"/>
    <w:lvl w:ilvl="0" w:tplc="18BE8ED0">
      <w:start w:val="1"/>
      <w:numFmt w:val="bullet"/>
      <w:pStyle w:val="GHBullet1"/>
      <w:lvlText w:val=""/>
      <w:lvlJc w:val="left"/>
      <w:pPr>
        <w:tabs>
          <w:tab w:val="num" w:pos="533"/>
        </w:tabs>
        <w:ind w:left="533" w:hanging="360"/>
      </w:pPr>
      <w:rPr>
        <w:rFonts w:ascii="Symbol" w:hAnsi="Symbol"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C1202A0"/>
    <w:multiLevelType w:val="hybridMultilevel"/>
    <w:tmpl w:val="ABD8EF68"/>
    <w:lvl w:ilvl="0" w:tplc="DA0A687A">
      <w:start w:val="1"/>
      <w:numFmt w:val="lowerRoman"/>
      <w:pStyle w:val="GHTableNumberLevel3"/>
      <w:lvlText w:val="%1."/>
      <w:lvlJc w:val="left"/>
      <w:pPr>
        <w:tabs>
          <w:tab w:val="num" w:pos="792"/>
        </w:tabs>
        <w:ind w:left="792" w:hanging="216"/>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 w15:restartNumberingAfterBreak="0">
    <w:nsid w:val="212F4BC6"/>
    <w:multiLevelType w:val="hybridMultilevel"/>
    <w:tmpl w:val="D7206E2A"/>
    <w:lvl w:ilvl="0" w:tplc="F562673C">
      <w:start w:val="1"/>
      <w:numFmt w:val="bullet"/>
      <w:lvlText w:val="•"/>
      <w:lvlJc w:val="left"/>
      <w:pPr>
        <w:tabs>
          <w:tab w:val="num" w:pos="720"/>
        </w:tabs>
        <w:ind w:left="720" w:hanging="360"/>
      </w:pPr>
      <w:rPr>
        <w:rFonts w:ascii="Arial" w:hAnsi="Arial"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9452A056">
      <w:start w:val="1"/>
      <w:numFmt w:val="bullet"/>
      <w:lvlText w:val="•"/>
      <w:lvlJc w:val="left"/>
      <w:pPr>
        <w:tabs>
          <w:tab w:val="num" w:pos="2160"/>
        </w:tabs>
        <w:ind w:left="2160" w:hanging="360"/>
      </w:pPr>
      <w:rPr>
        <w:rFonts w:ascii="Arial" w:hAnsi="Arial" w:cs="Times New Roman" w:hint="default"/>
      </w:rPr>
    </w:lvl>
    <w:lvl w:ilvl="3" w:tplc="6D9C84E2">
      <w:start w:val="1"/>
      <w:numFmt w:val="bullet"/>
      <w:lvlText w:val="•"/>
      <w:lvlJc w:val="left"/>
      <w:pPr>
        <w:tabs>
          <w:tab w:val="num" w:pos="2880"/>
        </w:tabs>
        <w:ind w:left="2880" w:hanging="360"/>
      </w:pPr>
      <w:rPr>
        <w:rFonts w:ascii="Arial" w:hAnsi="Arial" w:cs="Times New Roman" w:hint="default"/>
      </w:rPr>
    </w:lvl>
    <w:lvl w:ilvl="4" w:tplc="6B22554C">
      <w:start w:val="1"/>
      <w:numFmt w:val="bullet"/>
      <w:lvlText w:val="•"/>
      <w:lvlJc w:val="left"/>
      <w:pPr>
        <w:tabs>
          <w:tab w:val="num" w:pos="3600"/>
        </w:tabs>
        <w:ind w:left="3600" w:hanging="360"/>
      </w:pPr>
      <w:rPr>
        <w:rFonts w:ascii="Arial" w:hAnsi="Arial" w:cs="Times New Roman" w:hint="default"/>
      </w:rPr>
    </w:lvl>
    <w:lvl w:ilvl="5" w:tplc="AF7A4904">
      <w:start w:val="1"/>
      <w:numFmt w:val="bullet"/>
      <w:lvlText w:val="•"/>
      <w:lvlJc w:val="left"/>
      <w:pPr>
        <w:tabs>
          <w:tab w:val="num" w:pos="4320"/>
        </w:tabs>
        <w:ind w:left="4320" w:hanging="360"/>
      </w:pPr>
      <w:rPr>
        <w:rFonts w:ascii="Arial" w:hAnsi="Arial" w:cs="Times New Roman" w:hint="default"/>
      </w:rPr>
    </w:lvl>
    <w:lvl w:ilvl="6" w:tplc="A07C527C">
      <w:start w:val="1"/>
      <w:numFmt w:val="bullet"/>
      <w:lvlText w:val="•"/>
      <w:lvlJc w:val="left"/>
      <w:pPr>
        <w:tabs>
          <w:tab w:val="num" w:pos="5040"/>
        </w:tabs>
        <w:ind w:left="5040" w:hanging="360"/>
      </w:pPr>
      <w:rPr>
        <w:rFonts w:ascii="Arial" w:hAnsi="Arial" w:cs="Times New Roman" w:hint="default"/>
      </w:rPr>
    </w:lvl>
    <w:lvl w:ilvl="7" w:tplc="E8BE6004">
      <w:start w:val="1"/>
      <w:numFmt w:val="bullet"/>
      <w:lvlText w:val="•"/>
      <w:lvlJc w:val="left"/>
      <w:pPr>
        <w:tabs>
          <w:tab w:val="num" w:pos="5760"/>
        </w:tabs>
        <w:ind w:left="5760" w:hanging="360"/>
      </w:pPr>
      <w:rPr>
        <w:rFonts w:ascii="Arial" w:hAnsi="Arial" w:cs="Times New Roman" w:hint="default"/>
      </w:rPr>
    </w:lvl>
    <w:lvl w:ilvl="8" w:tplc="DDD602B4">
      <w:start w:val="1"/>
      <w:numFmt w:val="bullet"/>
      <w:lvlText w:val="•"/>
      <w:lvlJc w:val="left"/>
      <w:pPr>
        <w:tabs>
          <w:tab w:val="num" w:pos="6480"/>
        </w:tabs>
        <w:ind w:left="6480" w:hanging="360"/>
      </w:pPr>
      <w:rPr>
        <w:rFonts w:ascii="Arial" w:hAnsi="Arial" w:cs="Times New Roman" w:hint="default"/>
      </w:rPr>
    </w:lvl>
  </w:abstractNum>
  <w:abstractNum w:abstractNumId="6" w15:restartNumberingAfterBreak="0">
    <w:nsid w:val="231C14B1"/>
    <w:multiLevelType w:val="hybridMultilevel"/>
    <w:tmpl w:val="F90E42AE"/>
    <w:lvl w:ilvl="0" w:tplc="7CA8AA86">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 w15:restartNumberingAfterBreak="0">
    <w:nsid w:val="23954686"/>
    <w:multiLevelType w:val="hybridMultilevel"/>
    <w:tmpl w:val="189C591C"/>
    <w:lvl w:ilvl="0" w:tplc="F878AC9A">
      <w:start w:val="1"/>
      <w:numFmt w:val="decimal"/>
      <w:pStyle w:val="GHTableCaption"/>
      <w:lvlText w:val="Table %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15:restartNumberingAfterBreak="0">
    <w:nsid w:val="28F15945"/>
    <w:multiLevelType w:val="hybridMultilevel"/>
    <w:tmpl w:val="D67291CA"/>
    <w:lvl w:ilvl="0" w:tplc="BFEE8556">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9" w15:restartNumberingAfterBreak="0">
    <w:nsid w:val="39E837F9"/>
    <w:multiLevelType w:val="multilevel"/>
    <w:tmpl w:val="BA7003B0"/>
    <w:lvl w:ilvl="0">
      <w:start w:val="1"/>
      <w:numFmt w:val="bullet"/>
      <w:lvlText w:val=""/>
      <w:lvlJc w:val="left"/>
      <w:pPr>
        <w:tabs>
          <w:tab w:val="num" w:pos="360"/>
        </w:tabs>
        <w:ind w:left="360" w:hanging="360"/>
      </w:pPr>
      <w:rPr>
        <w:rFonts w:ascii="Symbol" w:hAnsi="Symbol" w:hint="default"/>
        <w:color w:val="DC6900"/>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3C9A1666"/>
    <w:multiLevelType w:val="hybridMultilevel"/>
    <w:tmpl w:val="93C6BFF4"/>
    <w:lvl w:ilvl="0" w:tplc="48FAF3A4">
      <w:start w:val="1"/>
      <w:numFmt w:val="bullet"/>
      <w:lvlText w:val="–"/>
      <w:lvlJc w:val="left"/>
      <w:pPr>
        <w:tabs>
          <w:tab w:val="num" w:pos="533"/>
        </w:tabs>
        <w:ind w:left="533" w:hanging="360"/>
      </w:pPr>
      <w:rPr>
        <w:rFonts w:ascii="Arial" w:hAnsi="Aria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0747308"/>
    <w:multiLevelType w:val="hybridMultilevel"/>
    <w:tmpl w:val="AFC0EB92"/>
    <w:lvl w:ilvl="0" w:tplc="74485606">
      <w:start w:val="1"/>
      <w:numFmt w:val="lowerLetter"/>
      <w:pStyle w:val="GHTableNumberLevel2"/>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2" w15:restartNumberingAfterBreak="0">
    <w:nsid w:val="4AD2119D"/>
    <w:multiLevelType w:val="hybridMultilevel"/>
    <w:tmpl w:val="BCB62BB2"/>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3" w15:restartNumberingAfterBreak="0">
    <w:nsid w:val="4D376ADA"/>
    <w:multiLevelType w:val="hybridMultilevel"/>
    <w:tmpl w:val="DF3A6D0E"/>
    <w:lvl w:ilvl="0" w:tplc="6DC4805C">
      <w:start w:val="1"/>
      <w:numFmt w:val="bullet"/>
      <w:pStyle w:val="GHTableBullet1"/>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4E387FAA"/>
    <w:multiLevelType w:val="hybridMultilevel"/>
    <w:tmpl w:val="9280DF36"/>
    <w:lvl w:ilvl="0" w:tplc="B442F146">
      <w:start w:val="1"/>
      <w:numFmt w:val="bullet"/>
      <w:lvlText w:val=""/>
      <w:lvlJc w:val="left"/>
      <w:pPr>
        <w:tabs>
          <w:tab w:val="num" w:pos="0"/>
        </w:tabs>
        <w:ind w:left="878" w:hanging="360"/>
      </w:pPr>
      <w:rPr>
        <w:rFonts w:ascii="Wingdings" w:hAnsi="Wingdings"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E7F3582"/>
    <w:multiLevelType w:val="multilevel"/>
    <w:tmpl w:val="B1B28C52"/>
    <w:lvl w:ilvl="0">
      <w:start w:val="1"/>
      <w:numFmt w:val="bullet"/>
      <w:lvlText w:val=""/>
      <w:lvlJc w:val="left"/>
      <w:pPr>
        <w:tabs>
          <w:tab w:val="num" w:pos="360"/>
        </w:tabs>
        <w:ind w:left="360" w:hanging="360"/>
      </w:pPr>
      <w:rPr>
        <w:rFonts w:ascii="Symbol" w:hAnsi="Symbol" w:hint="default"/>
        <w:color w:val="DC6900"/>
        <w:sz w:val="18"/>
        <w:szCs w:val="18"/>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51F902BC"/>
    <w:multiLevelType w:val="hybridMultilevel"/>
    <w:tmpl w:val="8C844A76"/>
    <w:lvl w:ilvl="0" w:tplc="104810EE">
      <w:start w:val="1"/>
      <w:numFmt w:val="decimal"/>
      <w:pStyle w:val="GHTableNumberLevel1"/>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522B783B"/>
    <w:multiLevelType w:val="hybridMultilevel"/>
    <w:tmpl w:val="7BC0D184"/>
    <w:lvl w:ilvl="0" w:tplc="ED4E7A48">
      <w:start w:val="1"/>
      <w:numFmt w:val="bullet"/>
      <w:pStyle w:val="GHTableBullet2"/>
      <w:lvlText w:val="–"/>
      <w:lvlJc w:val="left"/>
      <w:pPr>
        <w:tabs>
          <w:tab w:val="num" w:pos="533"/>
        </w:tabs>
        <w:ind w:left="533" w:hanging="360"/>
      </w:pPr>
      <w:rPr>
        <w:rFonts w:ascii="Arial" w:hAnsi="Arial" w:hint="default"/>
        <w:color w:val="auto"/>
        <w:sz w:val="20"/>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52E03034"/>
    <w:multiLevelType w:val="hybridMultilevel"/>
    <w:tmpl w:val="74B6ECDA"/>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56F112D5"/>
    <w:multiLevelType w:val="hybridMultilevel"/>
    <w:tmpl w:val="4E14EAA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0" w15:restartNumberingAfterBreak="0">
    <w:nsid w:val="5C17261B"/>
    <w:multiLevelType w:val="hybridMultilevel"/>
    <w:tmpl w:val="39D63FAC"/>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1" w15:restartNumberingAfterBreak="0">
    <w:nsid w:val="5C5620F1"/>
    <w:multiLevelType w:val="multilevel"/>
    <w:tmpl w:val="2DC2C05A"/>
    <w:lvl w:ilvl="0">
      <w:start w:val="1"/>
      <w:numFmt w:val="decimal"/>
      <w:pStyle w:val="Heading1"/>
      <w:lvlText w:val="%1.0"/>
      <w:lvlJc w:val="left"/>
      <w:pPr>
        <w:tabs>
          <w:tab w:val="num" w:pos="720"/>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color w:val="auto"/>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upperLetter"/>
      <w:pStyle w:val="Heading6"/>
      <w:lvlText w:val="Appendix %6."/>
      <w:lvlJc w:val="left"/>
      <w:pPr>
        <w:tabs>
          <w:tab w:val="num" w:pos="1152"/>
        </w:tabs>
        <w:ind w:left="1152" w:hanging="1152"/>
      </w:pPr>
      <w:rPr>
        <w:rFonts w:hint="default"/>
      </w:rPr>
    </w:lvl>
    <w:lvl w:ilvl="6">
      <w:start w:val="1"/>
      <w:numFmt w:val="decimal"/>
      <w:pStyle w:val="Heading7"/>
      <w:lvlText w:val="%6.%7"/>
      <w:lvlJc w:val="left"/>
      <w:pPr>
        <w:tabs>
          <w:tab w:val="num" w:pos="1296"/>
        </w:tabs>
        <w:ind w:left="1296" w:hanging="1296"/>
      </w:pPr>
      <w:rPr>
        <w:rFonts w:hint="default"/>
      </w:rPr>
    </w:lvl>
    <w:lvl w:ilvl="7">
      <w:start w:val="1"/>
      <w:numFmt w:val="decimal"/>
      <w:pStyle w:val="Heading8"/>
      <w:lvlText w:val="%6.%7.%8"/>
      <w:lvlJc w:val="left"/>
      <w:pPr>
        <w:tabs>
          <w:tab w:val="num" w:pos="1440"/>
        </w:tabs>
        <w:ind w:left="1440" w:hanging="1440"/>
      </w:pPr>
      <w:rPr>
        <w:rFonts w:hint="default"/>
      </w:rPr>
    </w:lvl>
    <w:lvl w:ilvl="8">
      <w:start w:val="1"/>
      <w:numFmt w:val="decimal"/>
      <w:pStyle w:val="Heading9"/>
      <w:lvlText w:val="%6.%7.%8.%9"/>
      <w:lvlJc w:val="left"/>
      <w:pPr>
        <w:tabs>
          <w:tab w:val="num" w:pos="1584"/>
        </w:tabs>
        <w:ind w:left="1584" w:hanging="1584"/>
      </w:pPr>
      <w:rPr>
        <w:rFonts w:hint="default"/>
      </w:rPr>
    </w:lvl>
  </w:abstractNum>
  <w:abstractNum w:abstractNumId="22" w15:restartNumberingAfterBreak="0">
    <w:nsid w:val="5DD03796"/>
    <w:multiLevelType w:val="hybridMultilevel"/>
    <w:tmpl w:val="758616D4"/>
    <w:lvl w:ilvl="0" w:tplc="DC4E1890">
      <w:start w:val="1"/>
      <w:numFmt w:val="lowerRoman"/>
      <w:pStyle w:val="GHNumberLevel3"/>
      <w:lvlText w:val="%1."/>
      <w:lvlJc w:val="left"/>
      <w:pPr>
        <w:tabs>
          <w:tab w:val="num" w:pos="720"/>
        </w:tabs>
        <w:ind w:left="720" w:hanging="18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63882963"/>
    <w:multiLevelType w:val="hybridMultilevel"/>
    <w:tmpl w:val="C514345E"/>
    <w:lvl w:ilvl="0" w:tplc="0312130A">
      <w:start w:val="1"/>
      <w:numFmt w:val="bullet"/>
      <w:pStyle w:val="GHBullet2"/>
      <w:lvlText w:val="–"/>
      <w:lvlJc w:val="left"/>
      <w:pPr>
        <w:tabs>
          <w:tab w:val="num" w:pos="1080"/>
        </w:tabs>
        <w:ind w:left="1080" w:hanging="360"/>
      </w:pPr>
      <w:rPr>
        <w:rFonts w:ascii="Arial" w:hAnsi="Arial" w:hint="default"/>
        <w:color w:val="auto"/>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6B8A57C4"/>
    <w:multiLevelType w:val="hybridMultilevel"/>
    <w:tmpl w:val="7DE68126"/>
    <w:lvl w:ilvl="0" w:tplc="AF06F968">
      <w:start w:val="1"/>
      <w:numFmt w:val="lowerRoman"/>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5" w15:restartNumberingAfterBreak="0">
    <w:nsid w:val="6D4F3904"/>
    <w:multiLevelType w:val="hybridMultilevel"/>
    <w:tmpl w:val="E2C2AA54"/>
    <w:lvl w:ilvl="0" w:tplc="8EE6A704">
      <w:start w:val="1"/>
      <w:numFmt w:val="bullet"/>
      <w:lvlText w:val=""/>
      <w:lvlJc w:val="left"/>
      <w:pPr>
        <w:tabs>
          <w:tab w:val="num" w:pos="360"/>
        </w:tabs>
        <w:ind w:left="360" w:hanging="360"/>
      </w:pPr>
      <w:rPr>
        <w:rFonts w:ascii="Symbol" w:hAnsi="Symbol"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3DB7840"/>
    <w:multiLevelType w:val="hybridMultilevel"/>
    <w:tmpl w:val="563CCE40"/>
    <w:lvl w:ilvl="0" w:tplc="04090005">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7" w15:restartNumberingAfterBreak="0">
    <w:nsid w:val="750508AB"/>
    <w:multiLevelType w:val="hybridMultilevel"/>
    <w:tmpl w:val="6B762A22"/>
    <w:lvl w:ilvl="0" w:tplc="1142700E">
      <w:start w:val="1"/>
      <w:numFmt w:val="bullet"/>
      <w:pStyle w:val="GHBullet3"/>
      <w:lvlText w:val=""/>
      <w:lvlJc w:val="left"/>
      <w:pPr>
        <w:tabs>
          <w:tab w:val="num" w:pos="562"/>
        </w:tabs>
        <w:ind w:left="1440" w:hanging="360"/>
      </w:pPr>
      <w:rPr>
        <w:rFonts w:ascii="Wingdings" w:hAnsi="Wingdings" w:hint="default"/>
        <w:color w:val="auto"/>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75510475"/>
    <w:multiLevelType w:val="hybridMultilevel"/>
    <w:tmpl w:val="84EA7E80"/>
    <w:lvl w:ilvl="0" w:tplc="9BA482E0">
      <w:start w:val="1"/>
      <w:numFmt w:val="lowerLetter"/>
      <w:pStyle w:val="GHNumberLevel2"/>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9D35C03"/>
    <w:multiLevelType w:val="hybridMultilevel"/>
    <w:tmpl w:val="49A47E7E"/>
    <w:lvl w:ilvl="0" w:tplc="C50E562A">
      <w:start w:val="1"/>
      <w:numFmt w:val="decimal"/>
      <w:pStyle w:val="GHFigureCaption"/>
      <w:lvlText w:val="Figure %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0" w15:restartNumberingAfterBreak="0">
    <w:nsid w:val="7A427BA9"/>
    <w:multiLevelType w:val="multilevel"/>
    <w:tmpl w:val="04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1" w15:restartNumberingAfterBreak="0">
    <w:nsid w:val="7BA11331"/>
    <w:multiLevelType w:val="hybridMultilevel"/>
    <w:tmpl w:val="9338725A"/>
    <w:lvl w:ilvl="0" w:tplc="C5B64946">
      <w:start w:val="1"/>
      <w:numFmt w:val="bullet"/>
      <w:pStyle w:val="GHTableBullet3"/>
      <w:lvlText w:val=""/>
      <w:lvlJc w:val="left"/>
      <w:pPr>
        <w:tabs>
          <w:tab w:val="num" w:pos="-86"/>
        </w:tabs>
        <w:ind w:left="792" w:hanging="360"/>
      </w:pPr>
      <w:rPr>
        <w:rFonts w:ascii="Wingdings" w:hAnsi="Wingdings" w:hint="default"/>
        <w:color w:val="auto"/>
        <w:sz w:val="18"/>
        <w:szCs w:val="18"/>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
  </w:num>
  <w:num w:numId="2">
    <w:abstractNumId w:val="23"/>
  </w:num>
  <w:num w:numId="3">
    <w:abstractNumId w:val="27"/>
  </w:num>
  <w:num w:numId="4">
    <w:abstractNumId w:val="21"/>
  </w:num>
  <w:num w:numId="5">
    <w:abstractNumId w:val="29"/>
  </w:num>
  <w:num w:numId="6">
    <w:abstractNumId w:val="7"/>
  </w:num>
  <w:num w:numId="7">
    <w:abstractNumId w:val="0"/>
  </w:num>
  <w:num w:numId="8">
    <w:abstractNumId w:val="28"/>
  </w:num>
  <w:num w:numId="9">
    <w:abstractNumId w:val="22"/>
  </w:num>
  <w:num w:numId="10">
    <w:abstractNumId w:val="13"/>
  </w:num>
  <w:num w:numId="11">
    <w:abstractNumId w:val="17"/>
  </w:num>
  <w:num w:numId="12">
    <w:abstractNumId w:val="31"/>
  </w:num>
  <w:num w:numId="13">
    <w:abstractNumId w:val="16"/>
  </w:num>
  <w:num w:numId="14">
    <w:abstractNumId w:val="11"/>
  </w:num>
  <w:num w:numId="15">
    <w:abstractNumId w:val="4"/>
  </w:num>
  <w:num w:numId="16">
    <w:abstractNumId w:val="25"/>
  </w:num>
  <w:num w:numId="17">
    <w:abstractNumId w:val="9"/>
  </w:num>
  <w:num w:numId="18">
    <w:abstractNumId w:val="10"/>
  </w:num>
  <w:num w:numId="19">
    <w:abstractNumId w:val="15"/>
  </w:num>
  <w:num w:numId="20">
    <w:abstractNumId w:val="14"/>
  </w:num>
  <w:num w:numId="21">
    <w:abstractNumId w:val="6"/>
  </w:num>
  <w:num w:numId="22">
    <w:abstractNumId w:val="8"/>
  </w:num>
  <w:num w:numId="23">
    <w:abstractNumId w:val="30"/>
  </w:num>
  <w:num w:numId="24">
    <w:abstractNumId w:val="24"/>
  </w:num>
  <w:num w:numId="25">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3"/>
    <w:lvlOverride w:ilvl="0">
      <w:startOverride w:val="1"/>
    </w:lvlOverride>
  </w:num>
  <w:num w:numId="28">
    <w:abstractNumId w:val="25"/>
    <w:lvlOverride w:ilvl="0">
      <w:startOverride w:val="1"/>
    </w:lvlOverride>
  </w:num>
  <w:num w:numId="29">
    <w:abstractNumId w:val="7"/>
  </w:num>
  <w:num w:numId="30">
    <w:abstractNumId w:val="19"/>
  </w:num>
  <w:num w:numId="31">
    <w:abstractNumId w:val="26"/>
  </w:num>
  <w:num w:numId="32">
    <w:abstractNumId w:val="1"/>
  </w:num>
  <w:num w:numId="33">
    <w:abstractNumId w:val="5"/>
  </w:num>
  <w:num w:numId="34">
    <w:abstractNumId w:val="18"/>
  </w:num>
  <w:num w:numId="35">
    <w:abstractNumId w:val="12"/>
  </w:num>
  <w:num w:numId="36">
    <w:abstractNumId w:val="20"/>
  </w:num>
  <w:num w:numId="37">
    <w:abstractNumId w:val="2"/>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80F7D"/>
    <w:rsid w:val="0000294B"/>
    <w:rsid w:val="00005F62"/>
    <w:rsid w:val="00011BEF"/>
    <w:rsid w:val="00012FC6"/>
    <w:rsid w:val="00021956"/>
    <w:rsid w:val="00022CD3"/>
    <w:rsid w:val="0002697D"/>
    <w:rsid w:val="00030DB6"/>
    <w:rsid w:val="000315DE"/>
    <w:rsid w:val="00031B11"/>
    <w:rsid w:val="000323E0"/>
    <w:rsid w:val="000353DB"/>
    <w:rsid w:val="00046128"/>
    <w:rsid w:val="00046F6B"/>
    <w:rsid w:val="0004778E"/>
    <w:rsid w:val="00053CBB"/>
    <w:rsid w:val="00054B45"/>
    <w:rsid w:val="00073541"/>
    <w:rsid w:val="000741F9"/>
    <w:rsid w:val="00076D5B"/>
    <w:rsid w:val="000831A8"/>
    <w:rsid w:val="0008424A"/>
    <w:rsid w:val="00085407"/>
    <w:rsid w:val="00085530"/>
    <w:rsid w:val="000922BA"/>
    <w:rsid w:val="00094A1F"/>
    <w:rsid w:val="000A14DA"/>
    <w:rsid w:val="000A2F71"/>
    <w:rsid w:val="000B2808"/>
    <w:rsid w:val="000B554D"/>
    <w:rsid w:val="000B6537"/>
    <w:rsid w:val="000B7E4A"/>
    <w:rsid w:val="000C0A37"/>
    <w:rsid w:val="000C2B43"/>
    <w:rsid w:val="000C64C5"/>
    <w:rsid w:val="000D0041"/>
    <w:rsid w:val="000D2EDB"/>
    <w:rsid w:val="000D2FC4"/>
    <w:rsid w:val="000D4A98"/>
    <w:rsid w:val="000D6AB9"/>
    <w:rsid w:val="000E435A"/>
    <w:rsid w:val="000E5A4C"/>
    <w:rsid w:val="00100E76"/>
    <w:rsid w:val="00101810"/>
    <w:rsid w:val="00103CF2"/>
    <w:rsid w:val="001103CF"/>
    <w:rsid w:val="00110EBA"/>
    <w:rsid w:val="0011269D"/>
    <w:rsid w:val="00120633"/>
    <w:rsid w:val="00120FE1"/>
    <w:rsid w:val="001265D1"/>
    <w:rsid w:val="00126657"/>
    <w:rsid w:val="00137DBB"/>
    <w:rsid w:val="0014172F"/>
    <w:rsid w:val="001558ED"/>
    <w:rsid w:val="00156780"/>
    <w:rsid w:val="0016436B"/>
    <w:rsid w:val="00177920"/>
    <w:rsid w:val="00185DCD"/>
    <w:rsid w:val="0019274B"/>
    <w:rsid w:val="00193FC9"/>
    <w:rsid w:val="00195B2F"/>
    <w:rsid w:val="001A6DEF"/>
    <w:rsid w:val="001B5107"/>
    <w:rsid w:val="001C0721"/>
    <w:rsid w:val="001C2E4A"/>
    <w:rsid w:val="001C5F54"/>
    <w:rsid w:val="001D14EB"/>
    <w:rsid w:val="001D7564"/>
    <w:rsid w:val="001E5E86"/>
    <w:rsid w:val="001E7580"/>
    <w:rsid w:val="001F2136"/>
    <w:rsid w:val="001F4625"/>
    <w:rsid w:val="001F795E"/>
    <w:rsid w:val="00202434"/>
    <w:rsid w:val="0020675E"/>
    <w:rsid w:val="00216C95"/>
    <w:rsid w:val="00220883"/>
    <w:rsid w:val="002270E9"/>
    <w:rsid w:val="00230241"/>
    <w:rsid w:val="00234699"/>
    <w:rsid w:val="00245FF4"/>
    <w:rsid w:val="00246272"/>
    <w:rsid w:val="00247778"/>
    <w:rsid w:val="0025181A"/>
    <w:rsid w:val="00256D17"/>
    <w:rsid w:val="00263257"/>
    <w:rsid w:val="00264606"/>
    <w:rsid w:val="002665C1"/>
    <w:rsid w:val="002666FB"/>
    <w:rsid w:val="00270516"/>
    <w:rsid w:val="00271CAB"/>
    <w:rsid w:val="00272CC4"/>
    <w:rsid w:val="00277B15"/>
    <w:rsid w:val="0028221B"/>
    <w:rsid w:val="00284645"/>
    <w:rsid w:val="00287475"/>
    <w:rsid w:val="00290643"/>
    <w:rsid w:val="00291217"/>
    <w:rsid w:val="002A11AF"/>
    <w:rsid w:val="002A28DC"/>
    <w:rsid w:val="002A31F7"/>
    <w:rsid w:val="002A423E"/>
    <w:rsid w:val="002A6291"/>
    <w:rsid w:val="002A648F"/>
    <w:rsid w:val="002B4D62"/>
    <w:rsid w:val="002B5344"/>
    <w:rsid w:val="002B77E4"/>
    <w:rsid w:val="002C4FA9"/>
    <w:rsid w:val="002C5489"/>
    <w:rsid w:val="002C6758"/>
    <w:rsid w:val="002D5981"/>
    <w:rsid w:val="002D5D7C"/>
    <w:rsid w:val="002D67BF"/>
    <w:rsid w:val="002F2072"/>
    <w:rsid w:val="003011F4"/>
    <w:rsid w:val="0030167F"/>
    <w:rsid w:val="00301D97"/>
    <w:rsid w:val="00304560"/>
    <w:rsid w:val="0031068D"/>
    <w:rsid w:val="0031262E"/>
    <w:rsid w:val="00317620"/>
    <w:rsid w:val="003227B9"/>
    <w:rsid w:val="00325A4D"/>
    <w:rsid w:val="003306AD"/>
    <w:rsid w:val="003307E4"/>
    <w:rsid w:val="0033628D"/>
    <w:rsid w:val="00343727"/>
    <w:rsid w:val="0034440A"/>
    <w:rsid w:val="003445AB"/>
    <w:rsid w:val="0034556E"/>
    <w:rsid w:val="0036034B"/>
    <w:rsid w:val="00361FD6"/>
    <w:rsid w:val="003629DD"/>
    <w:rsid w:val="003645F9"/>
    <w:rsid w:val="00365751"/>
    <w:rsid w:val="00370F12"/>
    <w:rsid w:val="0037567B"/>
    <w:rsid w:val="003774A9"/>
    <w:rsid w:val="00381A31"/>
    <w:rsid w:val="0038258B"/>
    <w:rsid w:val="003842A9"/>
    <w:rsid w:val="003853B8"/>
    <w:rsid w:val="0039054A"/>
    <w:rsid w:val="0039241C"/>
    <w:rsid w:val="003954B2"/>
    <w:rsid w:val="003A052F"/>
    <w:rsid w:val="003A06B6"/>
    <w:rsid w:val="003A13B9"/>
    <w:rsid w:val="003A3C7D"/>
    <w:rsid w:val="003A4C04"/>
    <w:rsid w:val="003A4CD1"/>
    <w:rsid w:val="003A61F7"/>
    <w:rsid w:val="003A6513"/>
    <w:rsid w:val="003B2FE5"/>
    <w:rsid w:val="003B4F99"/>
    <w:rsid w:val="003B6119"/>
    <w:rsid w:val="003C5BD0"/>
    <w:rsid w:val="003D3099"/>
    <w:rsid w:val="003D33AD"/>
    <w:rsid w:val="003E6D5A"/>
    <w:rsid w:val="003F6377"/>
    <w:rsid w:val="003F7BC3"/>
    <w:rsid w:val="00401CD5"/>
    <w:rsid w:val="004031B5"/>
    <w:rsid w:val="00406CC7"/>
    <w:rsid w:val="004210D1"/>
    <w:rsid w:val="00422435"/>
    <w:rsid w:val="00423276"/>
    <w:rsid w:val="00430D48"/>
    <w:rsid w:val="0043516A"/>
    <w:rsid w:val="00435B19"/>
    <w:rsid w:val="00441F74"/>
    <w:rsid w:val="004520A3"/>
    <w:rsid w:val="0045530E"/>
    <w:rsid w:val="00456D94"/>
    <w:rsid w:val="00461659"/>
    <w:rsid w:val="00470CCF"/>
    <w:rsid w:val="00474212"/>
    <w:rsid w:val="00480F7D"/>
    <w:rsid w:val="00482AF7"/>
    <w:rsid w:val="004920C6"/>
    <w:rsid w:val="004940B6"/>
    <w:rsid w:val="00495932"/>
    <w:rsid w:val="0049668C"/>
    <w:rsid w:val="004A6BCE"/>
    <w:rsid w:val="004A767B"/>
    <w:rsid w:val="004A7A15"/>
    <w:rsid w:val="004B62F6"/>
    <w:rsid w:val="004B7013"/>
    <w:rsid w:val="004C3E84"/>
    <w:rsid w:val="004D06E5"/>
    <w:rsid w:val="004D1018"/>
    <w:rsid w:val="004D2833"/>
    <w:rsid w:val="004D4912"/>
    <w:rsid w:val="004E186E"/>
    <w:rsid w:val="004F465C"/>
    <w:rsid w:val="00501C37"/>
    <w:rsid w:val="00503CB6"/>
    <w:rsid w:val="005068E5"/>
    <w:rsid w:val="00507930"/>
    <w:rsid w:val="00510BD9"/>
    <w:rsid w:val="00516659"/>
    <w:rsid w:val="00516C5D"/>
    <w:rsid w:val="005268EA"/>
    <w:rsid w:val="0052777D"/>
    <w:rsid w:val="00532F25"/>
    <w:rsid w:val="00532F34"/>
    <w:rsid w:val="00532F7F"/>
    <w:rsid w:val="00533277"/>
    <w:rsid w:val="005340C2"/>
    <w:rsid w:val="00540338"/>
    <w:rsid w:val="00540DD4"/>
    <w:rsid w:val="00541FD4"/>
    <w:rsid w:val="005463BF"/>
    <w:rsid w:val="00552107"/>
    <w:rsid w:val="00553039"/>
    <w:rsid w:val="0055354E"/>
    <w:rsid w:val="00570B7F"/>
    <w:rsid w:val="00576D28"/>
    <w:rsid w:val="00582062"/>
    <w:rsid w:val="005827FE"/>
    <w:rsid w:val="005927C5"/>
    <w:rsid w:val="005938CE"/>
    <w:rsid w:val="005A26EC"/>
    <w:rsid w:val="005B07C2"/>
    <w:rsid w:val="005B1D82"/>
    <w:rsid w:val="005B2571"/>
    <w:rsid w:val="005B45FF"/>
    <w:rsid w:val="005B5704"/>
    <w:rsid w:val="005C4C91"/>
    <w:rsid w:val="005D2B91"/>
    <w:rsid w:val="005D35CC"/>
    <w:rsid w:val="005D53EC"/>
    <w:rsid w:val="005D5705"/>
    <w:rsid w:val="005D7CB6"/>
    <w:rsid w:val="005E1374"/>
    <w:rsid w:val="005E25BE"/>
    <w:rsid w:val="005E3421"/>
    <w:rsid w:val="005E4A7B"/>
    <w:rsid w:val="005E5AD1"/>
    <w:rsid w:val="005E6A7F"/>
    <w:rsid w:val="006019F3"/>
    <w:rsid w:val="00607CB3"/>
    <w:rsid w:val="00613AFA"/>
    <w:rsid w:val="00614251"/>
    <w:rsid w:val="00615395"/>
    <w:rsid w:val="006207A4"/>
    <w:rsid w:val="00620E9C"/>
    <w:rsid w:val="00624729"/>
    <w:rsid w:val="00626017"/>
    <w:rsid w:val="00641975"/>
    <w:rsid w:val="00642304"/>
    <w:rsid w:val="0064744D"/>
    <w:rsid w:val="00655109"/>
    <w:rsid w:val="006562AA"/>
    <w:rsid w:val="0065707B"/>
    <w:rsid w:val="0068186B"/>
    <w:rsid w:val="00684047"/>
    <w:rsid w:val="00684CE4"/>
    <w:rsid w:val="00690262"/>
    <w:rsid w:val="0069293C"/>
    <w:rsid w:val="00696424"/>
    <w:rsid w:val="006A0B0D"/>
    <w:rsid w:val="006A3A27"/>
    <w:rsid w:val="006A6980"/>
    <w:rsid w:val="006A69DF"/>
    <w:rsid w:val="006A71F6"/>
    <w:rsid w:val="006B09C9"/>
    <w:rsid w:val="006B348D"/>
    <w:rsid w:val="006B56B9"/>
    <w:rsid w:val="006B77DF"/>
    <w:rsid w:val="006C0CA6"/>
    <w:rsid w:val="006C1252"/>
    <w:rsid w:val="006C39A9"/>
    <w:rsid w:val="006C548E"/>
    <w:rsid w:val="006D204A"/>
    <w:rsid w:val="006E7CBC"/>
    <w:rsid w:val="00700557"/>
    <w:rsid w:val="007063B4"/>
    <w:rsid w:val="00711281"/>
    <w:rsid w:val="00721844"/>
    <w:rsid w:val="007218A4"/>
    <w:rsid w:val="00733B13"/>
    <w:rsid w:val="00737001"/>
    <w:rsid w:val="00737DD7"/>
    <w:rsid w:val="00750D55"/>
    <w:rsid w:val="00752257"/>
    <w:rsid w:val="00757667"/>
    <w:rsid w:val="00757E46"/>
    <w:rsid w:val="00763D5E"/>
    <w:rsid w:val="007744C8"/>
    <w:rsid w:val="00782425"/>
    <w:rsid w:val="007866B9"/>
    <w:rsid w:val="0079234B"/>
    <w:rsid w:val="00794AE7"/>
    <w:rsid w:val="0079566D"/>
    <w:rsid w:val="007A09D2"/>
    <w:rsid w:val="007A3C7E"/>
    <w:rsid w:val="007A6729"/>
    <w:rsid w:val="007A7C7E"/>
    <w:rsid w:val="007B09EC"/>
    <w:rsid w:val="007B0F11"/>
    <w:rsid w:val="007B1CD7"/>
    <w:rsid w:val="007B1CEA"/>
    <w:rsid w:val="007D1F4E"/>
    <w:rsid w:val="007D71A2"/>
    <w:rsid w:val="007E45F4"/>
    <w:rsid w:val="0080416D"/>
    <w:rsid w:val="00806E5D"/>
    <w:rsid w:val="008129E2"/>
    <w:rsid w:val="00815C1E"/>
    <w:rsid w:val="00825680"/>
    <w:rsid w:val="00831FDA"/>
    <w:rsid w:val="00843153"/>
    <w:rsid w:val="00843409"/>
    <w:rsid w:val="00843C03"/>
    <w:rsid w:val="00850936"/>
    <w:rsid w:val="008532ED"/>
    <w:rsid w:val="0085505D"/>
    <w:rsid w:val="0086200E"/>
    <w:rsid w:val="008620E9"/>
    <w:rsid w:val="00864F0F"/>
    <w:rsid w:val="00872840"/>
    <w:rsid w:val="00873FE2"/>
    <w:rsid w:val="0088056F"/>
    <w:rsid w:val="00887FF5"/>
    <w:rsid w:val="00891FB1"/>
    <w:rsid w:val="008920A4"/>
    <w:rsid w:val="00895B8D"/>
    <w:rsid w:val="008969B9"/>
    <w:rsid w:val="008A07D9"/>
    <w:rsid w:val="008A1D0F"/>
    <w:rsid w:val="008A5771"/>
    <w:rsid w:val="008B007A"/>
    <w:rsid w:val="008B03A5"/>
    <w:rsid w:val="008B179C"/>
    <w:rsid w:val="008B26F9"/>
    <w:rsid w:val="008B3137"/>
    <w:rsid w:val="008B7309"/>
    <w:rsid w:val="008C007E"/>
    <w:rsid w:val="008C58E3"/>
    <w:rsid w:val="008C5A91"/>
    <w:rsid w:val="008D1C3B"/>
    <w:rsid w:val="008D1E6D"/>
    <w:rsid w:val="008D5EDD"/>
    <w:rsid w:val="008D71A0"/>
    <w:rsid w:val="008D7216"/>
    <w:rsid w:val="008E17A2"/>
    <w:rsid w:val="008E426A"/>
    <w:rsid w:val="008F151F"/>
    <w:rsid w:val="008F4483"/>
    <w:rsid w:val="008F6F98"/>
    <w:rsid w:val="00900A3E"/>
    <w:rsid w:val="009011E0"/>
    <w:rsid w:val="00902CBD"/>
    <w:rsid w:val="00913BFD"/>
    <w:rsid w:val="00914524"/>
    <w:rsid w:val="00917A6B"/>
    <w:rsid w:val="00923D76"/>
    <w:rsid w:val="009259EB"/>
    <w:rsid w:val="009270E1"/>
    <w:rsid w:val="00937892"/>
    <w:rsid w:val="00942307"/>
    <w:rsid w:val="00942DBA"/>
    <w:rsid w:val="0094511A"/>
    <w:rsid w:val="00946A80"/>
    <w:rsid w:val="00947B23"/>
    <w:rsid w:val="00950894"/>
    <w:rsid w:val="0095664F"/>
    <w:rsid w:val="009615F1"/>
    <w:rsid w:val="009637F0"/>
    <w:rsid w:val="00974BE6"/>
    <w:rsid w:val="00993AD5"/>
    <w:rsid w:val="009945E4"/>
    <w:rsid w:val="009975C8"/>
    <w:rsid w:val="009A2FF5"/>
    <w:rsid w:val="009B025B"/>
    <w:rsid w:val="009B34E3"/>
    <w:rsid w:val="009C1B15"/>
    <w:rsid w:val="009C2545"/>
    <w:rsid w:val="009C7138"/>
    <w:rsid w:val="009D4D17"/>
    <w:rsid w:val="009E1E59"/>
    <w:rsid w:val="009E3278"/>
    <w:rsid w:val="009E6394"/>
    <w:rsid w:val="009F18B7"/>
    <w:rsid w:val="00A00FE9"/>
    <w:rsid w:val="00A05404"/>
    <w:rsid w:val="00A13A3A"/>
    <w:rsid w:val="00A21293"/>
    <w:rsid w:val="00A33071"/>
    <w:rsid w:val="00A34B35"/>
    <w:rsid w:val="00A34C01"/>
    <w:rsid w:val="00A40F6C"/>
    <w:rsid w:val="00A44FB2"/>
    <w:rsid w:val="00A4566D"/>
    <w:rsid w:val="00A50CD9"/>
    <w:rsid w:val="00A529F5"/>
    <w:rsid w:val="00A57327"/>
    <w:rsid w:val="00A72D29"/>
    <w:rsid w:val="00A76C82"/>
    <w:rsid w:val="00A83FEE"/>
    <w:rsid w:val="00A85EDD"/>
    <w:rsid w:val="00A91813"/>
    <w:rsid w:val="00A94D41"/>
    <w:rsid w:val="00A96C56"/>
    <w:rsid w:val="00AB0968"/>
    <w:rsid w:val="00AB1589"/>
    <w:rsid w:val="00AB2250"/>
    <w:rsid w:val="00AB25F2"/>
    <w:rsid w:val="00AB3F84"/>
    <w:rsid w:val="00AB7111"/>
    <w:rsid w:val="00AC0AD6"/>
    <w:rsid w:val="00AC28E6"/>
    <w:rsid w:val="00AC3386"/>
    <w:rsid w:val="00AC37E6"/>
    <w:rsid w:val="00AC692C"/>
    <w:rsid w:val="00AC718B"/>
    <w:rsid w:val="00AD2FCE"/>
    <w:rsid w:val="00AD41CD"/>
    <w:rsid w:val="00AD451F"/>
    <w:rsid w:val="00AD5C8C"/>
    <w:rsid w:val="00AD764B"/>
    <w:rsid w:val="00AF22C6"/>
    <w:rsid w:val="00AF2CFD"/>
    <w:rsid w:val="00B2055C"/>
    <w:rsid w:val="00B24612"/>
    <w:rsid w:val="00B24D6B"/>
    <w:rsid w:val="00B27AD7"/>
    <w:rsid w:val="00B33A8F"/>
    <w:rsid w:val="00B34D37"/>
    <w:rsid w:val="00B50F0E"/>
    <w:rsid w:val="00B548E7"/>
    <w:rsid w:val="00B60C98"/>
    <w:rsid w:val="00B63166"/>
    <w:rsid w:val="00B657C4"/>
    <w:rsid w:val="00B657D4"/>
    <w:rsid w:val="00B739FC"/>
    <w:rsid w:val="00B82BAD"/>
    <w:rsid w:val="00B8688B"/>
    <w:rsid w:val="00B91CFA"/>
    <w:rsid w:val="00B92CD9"/>
    <w:rsid w:val="00B93FBD"/>
    <w:rsid w:val="00BA1AFA"/>
    <w:rsid w:val="00BA3C1F"/>
    <w:rsid w:val="00BA5AEA"/>
    <w:rsid w:val="00BA7E35"/>
    <w:rsid w:val="00BB08CD"/>
    <w:rsid w:val="00BC1AB3"/>
    <w:rsid w:val="00BC2B7D"/>
    <w:rsid w:val="00BC48D7"/>
    <w:rsid w:val="00BD269C"/>
    <w:rsid w:val="00BD5FBE"/>
    <w:rsid w:val="00BE2529"/>
    <w:rsid w:val="00BE5FA6"/>
    <w:rsid w:val="00BE6726"/>
    <w:rsid w:val="00BE6914"/>
    <w:rsid w:val="00BF19BE"/>
    <w:rsid w:val="00BF2510"/>
    <w:rsid w:val="00BF3BC5"/>
    <w:rsid w:val="00BF63E8"/>
    <w:rsid w:val="00C00D7D"/>
    <w:rsid w:val="00C02231"/>
    <w:rsid w:val="00C04D1B"/>
    <w:rsid w:val="00C079A2"/>
    <w:rsid w:val="00C16169"/>
    <w:rsid w:val="00C25EC8"/>
    <w:rsid w:val="00C30701"/>
    <w:rsid w:val="00C31D6C"/>
    <w:rsid w:val="00C324C7"/>
    <w:rsid w:val="00C41C09"/>
    <w:rsid w:val="00C442D8"/>
    <w:rsid w:val="00C45786"/>
    <w:rsid w:val="00C47BE7"/>
    <w:rsid w:val="00C51E06"/>
    <w:rsid w:val="00C56FA4"/>
    <w:rsid w:val="00C57EAF"/>
    <w:rsid w:val="00C61FAC"/>
    <w:rsid w:val="00C62116"/>
    <w:rsid w:val="00C6352F"/>
    <w:rsid w:val="00C659B0"/>
    <w:rsid w:val="00C70028"/>
    <w:rsid w:val="00C743FC"/>
    <w:rsid w:val="00C75835"/>
    <w:rsid w:val="00C77F7C"/>
    <w:rsid w:val="00C936E1"/>
    <w:rsid w:val="00C9382F"/>
    <w:rsid w:val="00C94165"/>
    <w:rsid w:val="00C97021"/>
    <w:rsid w:val="00CA66FA"/>
    <w:rsid w:val="00CB0964"/>
    <w:rsid w:val="00CC1894"/>
    <w:rsid w:val="00CC35F4"/>
    <w:rsid w:val="00CC4A49"/>
    <w:rsid w:val="00CD1957"/>
    <w:rsid w:val="00CD533A"/>
    <w:rsid w:val="00CE2E0C"/>
    <w:rsid w:val="00CE2EA1"/>
    <w:rsid w:val="00CE3854"/>
    <w:rsid w:val="00CE761D"/>
    <w:rsid w:val="00CF0A66"/>
    <w:rsid w:val="00CF0DE8"/>
    <w:rsid w:val="00CF1739"/>
    <w:rsid w:val="00CF1E7B"/>
    <w:rsid w:val="00D0204E"/>
    <w:rsid w:val="00D03311"/>
    <w:rsid w:val="00D06A9E"/>
    <w:rsid w:val="00D10306"/>
    <w:rsid w:val="00D112A9"/>
    <w:rsid w:val="00D1218C"/>
    <w:rsid w:val="00D12E6F"/>
    <w:rsid w:val="00D133E6"/>
    <w:rsid w:val="00D164CB"/>
    <w:rsid w:val="00D17257"/>
    <w:rsid w:val="00D3251F"/>
    <w:rsid w:val="00D416D8"/>
    <w:rsid w:val="00D42883"/>
    <w:rsid w:val="00D4589C"/>
    <w:rsid w:val="00D45BB8"/>
    <w:rsid w:val="00D471F8"/>
    <w:rsid w:val="00D62E9C"/>
    <w:rsid w:val="00D655D0"/>
    <w:rsid w:val="00D67649"/>
    <w:rsid w:val="00D775FF"/>
    <w:rsid w:val="00D86D66"/>
    <w:rsid w:val="00D9374F"/>
    <w:rsid w:val="00D969C7"/>
    <w:rsid w:val="00D97259"/>
    <w:rsid w:val="00DA3C17"/>
    <w:rsid w:val="00DD41F4"/>
    <w:rsid w:val="00DE053C"/>
    <w:rsid w:val="00DE1044"/>
    <w:rsid w:val="00DF0C0F"/>
    <w:rsid w:val="00DF1EF5"/>
    <w:rsid w:val="00DF263D"/>
    <w:rsid w:val="00DF650B"/>
    <w:rsid w:val="00E0025F"/>
    <w:rsid w:val="00E067E3"/>
    <w:rsid w:val="00E10796"/>
    <w:rsid w:val="00E11763"/>
    <w:rsid w:val="00E21193"/>
    <w:rsid w:val="00E21266"/>
    <w:rsid w:val="00E21B64"/>
    <w:rsid w:val="00E32AB1"/>
    <w:rsid w:val="00E3306D"/>
    <w:rsid w:val="00E47456"/>
    <w:rsid w:val="00E50BE3"/>
    <w:rsid w:val="00E55EEE"/>
    <w:rsid w:val="00E564AC"/>
    <w:rsid w:val="00E651F0"/>
    <w:rsid w:val="00E657C3"/>
    <w:rsid w:val="00E71129"/>
    <w:rsid w:val="00E71BAC"/>
    <w:rsid w:val="00E74B95"/>
    <w:rsid w:val="00E758E9"/>
    <w:rsid w:val="00E76E29"/>
    <w:rsid w:val="00E91C1A"/>
    <w:rsid w:val="00E935DD"/>
    <w:rsid w:val="00E93679"/>
    <w:rsid w:val="00E938FA"/>
    <w:rsid w:val="00E945E9"/>
    <w:rsid w:val="00E9738A"/>
    <w:rsid w:val="00EA2170"/>
    <w:rsid w:val="00EB228E"/>
    <w:rsid w:val="00EB770E"/>
    <w:rsid w:val="00EB79FD"/>
    <w:rsid w:val="00EC05F9"/>
    <w:rsid w:val="00EC1162"/>
    <w:rsid w:val="00EC1D01"/>
    <w:rsid w:val="00EC79AC"/>
    <w:rsid w:val="00ED0A51"/>
    <w:rsid w:val="00ED3029"/>
    <w:rsid w:val="00ED488D"/>
    <w:rsid w:val="00ED5239"/>
    <w:rsid w:val="00ED530E"/>
    <w:rsid w:val="00ED5431"/>
    <w:rsid w:val="00ED5E1E"/>
    <w:rsid w:val="00EE3523"/>
    <w:rsid w:val="00EE660B"/>
    <w:rsid w:val="00EF5C1D"/>
    <w:rsid w:val="00F06F7D"/>
    <w:rsid w:val="00F16DFB"/>
    <w:rsid w:val="00F171C3"/>
    <w:rsid w:val="00F227DB"/>
    <w:rsid w:val="00F24209"/>
    <w:rsid w:val="00F25044"/>
    <w:rsid w:val="00F343B7"/>
    <w:rsid w:val="00F407D5"/>
    <w:rsid w:val="00F42207"/>
    <w:rsid w:val="00F53740"/>
    <w:rsid w:val="00F663F9"/>
    <w:rsid w:val="00F67186"/>
    <w:rsid w:val="00F7184B"/>
    <w:rsid w:val="00F7219F"/>
    <w:rsid w:val="00F729A5"/>
    <w:rsid w:val="00F80BE5"/>
    <w:rsid w:val="00F86875"/>
    <w:rsid w:val="00F901CE"/>
    <w:rsid w:val="00F92C3F"/>
    <w:rsid w:val="00F96335"/>
    <w:rsid w:val="00F96CAA"/>
    <w:rsid w:val="00FA3CB9"/>
    <w:rsid w:val="00FA66C9"/>
    <w:rsid w:val="00FB25BB"/>
    <w:rsid w:val="00FB4002"/>
    <w:rsid w:val="00FB485A"/>
    <w:rsid w:val="00FC1C49"/>
    <w:rsid w:val="00FC2418"/>
    <w:rsid w:val="00FC3EDC"/>
    <w:rsid w:val="00FC447E"/>
    <w:rsid w:val="00FD01C1"/>
    <w:rsid w:val="00FD4FFF"/>
    <w:rsid w:val="00FE0457"/>
    <w:rsid w:val="00FE0A6E"/>
    <w:rsid w:val="00FF43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3BC66E14"/>
  <w15:docId w15:val="{959DC563-A238-4DA5-970E-3CFAFCE51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qFormat="1"/>
    <w:lsdException w:name="toc 5" w:semiHidden="1" w:uiPriority="39" w:unhideWhenUsed="1" w:qFormat="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iPriority="99" w:unhideWhenUsed="1" w:qFormat="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qFormat="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6B77DF"/>
    <w:pPr>
      <w:spacing w:before="120" w:after="120"/>
    </w:pPr>
    <w:rPr>
      <w:sz w:val="24"/>
      <w:szCs w:val="24"/>
    </w:rPr>
  </w:style>
  <w:style w:type="paragraph" w:styleId="Heading1">
    <w:name w:val="heading 1"/>
    <w:basedOn w:val="GHBodytext"/>
    <w:next w:val="GHBodytext"/>
    <w:link w:val="Heading1Char"/>
    <w:qFormat/>
    <w:rsid w:val="004D1018"/>
    <w:pPr>
      <w:keepNext/>
      <w:numPr>
        <w:numId w:val="4"/>
      </w:numPr>
      <w:tabs>
        <w:tab w:val="clear" w:pos="720"/>
      </w:tabs>
      <w:ind w:left="720" w:hanging="720"/>
      <w:outlineLvl w:val="0"/>
    </w:pPr>
    <w:rPr>
      <w:rFonts w:cs="Arial"/>
      <w:b/>
      <w:bCs/>
      <w:kern w:val="32"/>
      <w:sz w:val="32"/>
      <w:szCs w:val="32"/>
    </w:rPr>
  </w:style>
  <w:style w:type="paragraph" w:styleId="Heading2">
    <w:name w:val="heading 2"/>
    <w:basedOn w:val="Heading1"/>
    <w:next w:val="GHBodytext"/>
    <w:qFormat/>
    <w:rsid w:val="004D1018"/>
    <w:pPr>
      <w:numPr>
        <w:ilvl w:val="1"/>
      </w:numPr>
      <w:tabs>
        <w:tab w:val="clear" w:pos="576"/>
      </w:tabs>
      <w:spacing w:before="80"/>
      <w:outlineLvl w:val="1"/>
    </w:pPr>
    <w:rPr>
      <w:bCs w:val="0"/>
      <w:i/>
      <w:iCs/>
      <w:sz w:val="28"/>
      <w:szCs w:val="28"/>
    </w:rPr>
  </w:style>
  <w:style w:type="paragraph" w:styleId="Heading3">
    <w:name w:val="heading 3"/>
    <w:basedOn w:val="Heading2"/>
    <w:next w:val="GHBodytext"/>
    <w:link w:val="Heading3Char"/>
    <w:qFormat/>
    <w:rsid w:val="006A6980"/>
    <w:pPr>
      <w:numPr>
        <w:ilvl w:val="2"/>
      </w:numPr>
      <w:tabs>
        <w:tab w:val="clear" w:pos="720"/>
      </w:tabs>
      <w:outlineLvl w:val="2"/>
    </w:pPr>
    <w:rPr>
      <w:bCs/>
      <w:i w:val="0"/>
      <w:sz w:val="26"/>
      <w:szCs w:val="26"/>
    </w:rPr>
  </w:style>
  <w:style w:type="paragraph" w:styleId="Heading4">
    <w:name w:val="heading 4"/>
    <w:basedOn w:val="Heading3"/>
    <w:next w:val="GHBodytext"/>
    <w:qFormat/>
    <w:rsid w:val="005D5705"/>
    <w:pPr>
      <w:numPr>
        <w:ilvl w:val="3"/>
      </w:numPr>
      <w:tabs>
        <w:tab w:val="clear" w:pos="864"/>
      </w:tabs>
      <w:outlineLvl w:val="3"/>
    </w:pPr>
    <w:rPr>
      <w:bCs w:val="0"/>
      <w:sz w:val="24"/>
      <w:szCs w:val="28"/>
    </w:rPr>
  </w:style>
  <w:style w:type="paragraph" w:styleId="Heading5">
    <w:name w:val="heading 5"/>
    <w:basedOn w:val="Heading4"/>
    <w:next w:val="GHBodytext"/>
    <w:qFormat/>
    <w:rsid w:val="007A09D2"/>
    <w:pPr>
      <w:numPr>
        <w:ilvl w:val="4"/>
      </w:numPr>
      <w:tabs>
        <w:tab w:val="clear" w:pos="1008"/>
      </w:tabs>
      <w:outlineLvl w:val="4"/>
    </w:pPr>
    <w:rPr>
      <w:bCs/>
      <w:i/>
      <w:iCs w:val="0"/>
      <w:szCs w:val="26"/>
    </w:rPr>
  </w:style>
  <w:style w:type="paragraph" w:styleId="Heading6">
    <w:name w:val="heading 6"/>
    <w:basedOn w:val="Heading1"/>
    <w:next w:val="GHBodytext"/>
    <w:qFormat/>
    <w:rsid w:val="007B1CEA"/>
    <w:pPr>
      <w:numPr>
        <w:ilvl w:val="5"/>
      </w:numPr>
      <w:tabs>
        <w:tab w:val="clear" w:pos="1152"/>
      </w:tabs>
      <w:spacing w:before="120"/>
      <w:ind w:left="1872" w:hanging="1872"/>
      <w:outlineLvl w:val="5"/>
    </w:pPr>
    <w:rPr>
      <w:bCs w:val="0"/>
      <w:szCs w:val="22"/>
    </w:rPr>
  </w:style>
  <w:style w:type="paragraph" w:styleId="Heading7">
    <w:name w:val="heading 7"/>
    <w:basedOn w:val="Heading2"/>
    <w:next w:val="GHBodytext"/>
    <w:qFormat/>
    <w:rsid w:val="007B1CEA"/>
    <w:pPr>
      <w:numPr>
        <w:ilvl w:val="6"/>
      </w:numPr>
      <w:tabs>
        <w:tab w:val="clear" w:pos="1296"/>
      </w:tabs>
      <w:ind w:left="576" w:hanging="576"/>
      <w:outlineLvl w:val="6"/>
    </w:pPr>
    <w:rPr>
      <w:bCs/>
      <w:szCs w:val="32"/>
    </w:rPr>
  </w:style>
  <w:style w:type="paragraph" w:styleId="Heading8">
    <w:name w:val="heading 8"/>
    <w:basedOn w:val="Heading3"/>
    <w:next w:val="GHBodytext"/>
    <w:qFormat/>
    <w:rsid w:val="007B1CEA"/>
    <w:pPr>
      <w:numPr>
        <w:ilvl w:val="7"/>
      </w:numPr>
      <w:tabs>
        <w:tab w:val="clear" w:pos="1440"/>
        <w:tab w:val="left" w:pos="792"/>
      </w:tabs>
      <w:ind w:left="792" w:hanging="792"/>
      <w:outlineLvl w:val="7"/>
    </w:pPr>
    <w:rPr>
      <w:iCs w:val="0"/>
    </w:rPr>
  </w:style>
  <w:style w:type="paragraph" w:styleId="Heading9">
    <w:name w:val="heading 9"/>
    <w:basedOn w:val="Heading4"/>
    <w:next w:val="GHBodytext"/>
    <w:qFormat/>
    <w:rsid w:val="007B1CEA"/>
    <w:pPr>
      <w:numPr>
        <w:ilvl w:val="8"/>
      </w:numPr>
      <w:tabs>
        <w:tab w:val="clear" w:pos="1584"/>
      </w:tabs>
      <w:ind w:left="936" w:hanging="936"/>
      <w:outlineLvl w:val="8"/>
    </w:pPr>
    <w:rPr>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GHBodytext">
    <w:name w:val="GH_Bodytext"/>
    <w:basedOn w:val="Normal"/>
    <w:link w:val="GHBodytextChar"/>
    <w:qFormat/>
    <w:rsid w:val="000B7E4A"/>
    <w:pPr>
      <w:spacing w:before="0" w:after="80"/>
    </w:pPr>
  </w:style>
  <w:style w:type="character" w:customStyle="1" w:styleId="GHBodytextChar">
    <w:name w:val="GH_Bodytext Char"/>
    <w:basedOn w:val="DefaultParagraphFont"/>
    <w:link w:val="GHBodytext"/>
    <w:locked/>
    <w:rsid w:val="000B7E4A"/>
    <w:rPr>
      <w:sz w:val="24"/>
      <w:szCs w:val="24"/>
    </w:rPr>
  </w:style>
  <w:style w:type="character" w:customStyle="1" w:styleId="Heading3Char">
    <w:name w:val="Heading 3 Char"/>
    <w:basedOn w:val="DefaultParagraphFont"/>
    <w:link w:val="Heading3"/>
    <w:rsid w:val="006A6980"/>
    <w:rPr>
      <w:rFonts w:cs="Arial"/>
      <w:b/>
      <w:bCs/>
      <w:iCs/>
      <w:color w:val="DC6900"/>
      <w:kern w:val="32"/>
      <w:sz w:val="26"/>
      <w:szCs w:val="26"/>
    </w:rPr>
  </w:style>
  <w:style w:type="paragraph" w:customStyle="1" w:styleId="GHBullet1">
    <w:name w:val="GH_Bullet1"/>
    <w:basedOn w:val="GHBodytext"/>
    <w:qFormat/>
    <w:rsid w:val="004D1018"/>
    <w:pPr>
      <w:numPr>
        <w:numId w:val="1"/>
      </w:numPr>
      <w:tabs>
        <w:tab w:val="clear" w:pos="533"/>
      </w:tabs>
      <w:ind w:left="346" w:hanging="173"/>
      <w:contextualSpacing/>
    </w:pPr>
  </w:style>
  <w:style w:type="paragraph" w:customStyle="1" w:styleId="GHBullet2">
    <w:name w:val="GH_Bullet2"/>
    <w:basedOn w:val="GHBodytext"/>
    <w:qFormat/>
    <w:rsid w:val="004D1018"/>
    <w:pPr>
      <w:numPr>
        <w:numId w:val="2"/>
      </w:numPr>
      <w:tabs>
        <w:tab w:val="clear" w:pos="1080"/>
      </w:tabs>
      <w:ind w:left="519" w:hanging="173"/>
      <w:contextualSpacing/>
    </w:pPr>
  </w:style>
  <w:style w:type="paragraph" w:customStyle="1" w:styleId="GHBullet3">
    <w:name w:val="GH_Bullet3"/>
    <w:basedOn w:val="GHBodytext"/>
    <w:qFormat/>
    <w:rsid w:val="004D1018"/>
    <w:pPr>
      <w:numPr>
        <w:numId w:val="3"/>
      </w:numPr>
      <w:tabs>
        <w:tab w:val="clear" w:pos="562"/>
      </w:tabs>
      <w:ind w:left="691" w:hanging="173"/>
      <w:contextualSpacing/>
    </w:pPr>
  </w:style>
  <w:style w:type="paragraph" w:customStyle="1" w:styleId="GHBullet1Indent">
    <w:name w:val="GH_Bullet1_Indent"/>
    <w:basedOn w:val="GHBodytext"/>
    <w:qFormat/>
    <w:rsid w:val="007A09D2"/>
    <w:pPr>
      <w:ind w:left="346"/>
    </w:pPr>
  </w:style>
  <w:style w:type="paragraph" w:customStyle="1" w:styleId="GHBullet2Indent">
    <w:name w:val="GH_Bullet2_Indent"/>
    <w:basedOn w:val="GHBodytext"/>
    <w:qFormat/>
    <w:rsid w:val="007A09D2"/>
    <w:pPr>
      <w:ind w:left="518"/>
    </w:pPr>
  </w:style>
  <w:style w:type="paragraph" w:customStyle="1" w:styleId="GHBullet3Indent">
    <w:name w:val="GH_Bullet3_Indent"/>
    <w:basedOn w:val="GHBodytext"/>
    <w:qFormat/>
    <w:rsid w:val="000B7E4A"/>
    <w:pPr>
      <w:spacing w:after="0"/>
      <w:ind w:left="691"/>
    </w:pPr>
  </w:style>
  <w:style w:type="paragraph" w:styleId="Header">
    <w:name w:val="header"/>
    <w:basedOn w:val="GHBodytext"/>
    <w:rsid w:val="006A71F6"/>
    <w:pPr>
      <w:tabs>
        <w:tab w:val="center" w:pos="4320"/>
        <w:tab w:val="right" w:pos="8640"/>
      </w:tabs>
      <w:spacing w:after="0"/>
    </w:pPr>
  </w:style>
  <w:style w:type="paragraph" w:styleId="Footer">
    <w:name w:val="footer"/>
    <w:basedOn w:val="GHBodytext"/>
    <w:rsid w:val="00D471F8"/>
    <w:pPr>
      <w:tabs>
        <w:tab w:val="center" w:pos="4320"/>
        <w:tab w:val="right" w:pos="8640"/>
      </w:tabs>
      <w:spacing w:after="0"/>
    </w:pPr>
  </w:style>
  <w:style w:type="paragraph" w:customStyle="1" w:styleId="GHFigureCaption">
    <w:name w:val="GH_Figure_Caption"/>
    <w:basedOn w:val="GHBodytext"/>
    <w:next w:val="GHBodytext"/>
    <w:qFormat/>
    <w:rsid w:val="00947B23"/>
    <w:pPr>
      <w:numPr>
        <w:numId w:val="5"/>
      </w:numPr>
      <w:tabs>
        <w:tab w:val="clear" w:pos="720"/>
        <w:tab w:val="left" w:pos="1152"/>
      </w:tabs>
      <w:spacing w:before="60"/>
      <w:ind w:left="0" w:firstLine="0"/>
      <w:jc w:val="center"/>
    </w:pPr>
    <w:rPr>
      <w:b/>
    </w:rPr>
  </w:style>
  <w:style w:type="paragraph" w:customStyle="1" w:styleId="GHTableCaption">
    <w:name w:val="GH_Table_Caption"/>
    <w:basedOn w:val="GHBodytext"/>
    <w:next w:val="GHBodytext"/>
    <w:rsid w:val="0094511A"/>
    <w:pPr>
      <w:numPr>
        <w:numId w:val="6"/>
      </w:numPr>
      <w:tabs>
        <w:tab w:val="clear" w:pos="720"/>
        <w:tab w:val="left" w:pos="1152"/>
      </w:tabs>
      <w:spacing w:after="0"/>
      <w:ind w:left="0" w:firstLine="0"/>
      <w:jc w:val="center"/>
    </w:pPr>
    <w:rPr>
      <w:b/>
    </w:rPr>
  </w:style>
  <w:style w:type="paragraph" w:customStyle="1" w:styleId="GHNumberLevel1">
    <w:name w:val="GH_NumberLevel_1"/>
    <w:basedOn w:val="GHBodytext"/>
    <w:rsid w:val="004D1018"/>
    <w:pPr>
      <w:numPr>
        <w:numId w:val="7"/>
      </w:numPr>
      <w:tabs>
        <w:tab w:val="clear" w:pos="360"/>
      </w:tabs>
      <w:ind w:left="461" w:hanging="288"/>
      <w:contextualSpacing/>
    </w:pPr>
  </w:style>
  <w:style w:type="paragraph" w:customStyle="1" w:styleId="GHNumberLevel2">
    <w:name w:val="GH_NumberLevel_2"/>
    <w:basedOn w:val="GHBodytext"/>
    <w:rsid w:val="004D1018"/>
    <w:pPr>
      <w:numPr>
        <w:numId w:val="8"/>
      </w:numPr>
      <w:tabs>
        <w:tab w:val="clear" w:pos="720"/>
      </w:tabs>
      <w:ind w:left="749" w:hanging="288"/>
      <w:contextualSpacing/>
    </w:pPr>
  </w:style>
  <w:style w:type="paragraph" w:customStyle="1" w:styleId="GHNumberLevel3">
    <w:name w:val="GH_NumberLevel_3"/>
    <w:basedOn w:val="GHBodytext"/>
    <w:rsid w:val="004D1018"/>
    <w:pPr>
      <w:numPr>
        <w:numId w:val="9"/>
      </w:numPr>
      <w:tabs>
        <w:tab w:val="clear" w:pos="720"/>
      </w:tabs>
      <w:ind w:left="1152" w:hanging="432"/>
      <w:contextualSpacing/>
    </w:pPr>
  </w:style>
  <w:style w:type="paragraph" w:customStyle="1" w:styleId="GHTablebody">
    <w:name w:val="GH_Tablebody"/>
    <w:basedOn w:val="GHBodytext"/>
    <w:rsid w:val="004D1018"/>
    <w:pPr>
      <w:spacing w:after="0"/>
    </w:pPr>
    <w:rPr>
      <w:sz w:val="18"/>
    </w:rPr>
  </w:style>
  <w:style w:type="paragraph" w:customStyle="1" w:styleId="GHTableBullet1">
    <w:name w:val="GH_TableBullet1"/>
    <w:basedOn w:val="GHTablebody"/>
    <w:qFormat/>
    <w:rsid w:val="006A0B0D"/>
    <w:pPr>
      <w:numPr>
        <w:numId w:val="10"/>
      </w:numPr>
      <w:tabs>
        <w:tab w:val="clear" w:pos="360"/>
      </w:tabs>
      <w:ind w:left="173" w:hanging="173"/>
    </w:pPr>
  </w:style>
  <w:style w:type="paragraph" w:customStyle="1" w:styleId="GHTableBullet2">
    <w:name w:val="GH_TableBullet2"/>
    <w:basedOn w:val="GHTablebody"/>
    <w:qFormat/>
    <w:rsid w:val="006A0B0D"/>
    <w:pPr>
      <w:numPr>
        <w:numId w:val="11"/>
      </w:numPr>
      <w:tabs>
        <w:tab w:val="clear" w:pos="533"/>
      </w:tabs>
      <w:ind w:left="346" w:hanging="173"/>
    </w:pPr>
  </w:style>
  <w:style w:type="paragraph" w:customStyle="1" w:styleId="GHTableBullet3">
    <w:name w:val="GH_TableBullet3"/>
    <w:basedOn w:val="GHTablebody"/>
    <w:qFormat/>
    <w:rsid w:val="006A0B0D"/>
    <w:pPr>
      <w:numPr>
        <w:numId w:val="12"/>
      </w:numPr>
      <w:tabs>
        <w:tab w:val="clear" w:pos="-86"/>
      </w:tabs>
      <w:ind w:left="519" w:hanging="173"/>
    </w:pPr>
  </w:style>
  <w:style w:type="paragraph" w:customStyle="1" w:styleId="GHTableheader">
    <w:name w:val="GH_Tableheader"/>
    <w:basedOn w:val="GHTablebody"/>
    <w:rsid w:val="006A0B0D"/>
    <w:rPr>
      <w:b/>
    </w:rPr>
  </w:style>
  <w:style w:type="paragraph" w:customStyle="1" w:styleId="GHTablesideheading">
    <w:name w:val="GH_Tablesideheading"/>
    <w:basedOn w:val="GHTablebody"/>
    <w:rsid w:val="00FE0A6E"/>
    <w:rPr>
      <w:b/>
    </w:rPr>
  </w:style>
  <w:style w:type="paragraph" w:customStyle="1" w:styleId="GHGraphic">
    <w:name w:val="GH_Graphic"/>
    <w:basedOn w:val="GHTablebody"/>
    <w:next w:val="GHFigureCaption"/>
    <w:rsid w:val="00021956"/>
    <w:pPr>
      <w:jc w:val="center"/>
    </w:pPr>
  </w:style>
  <w:style w:type="character" w:styleId="PageNumber">
    <w:name w:val="page number"/>
    <w:basedOn w:val="DefaultParagraphFont"/>
    <w:rsid w:val="00D471F8"/>
    <w:rPr>
      <w:sz w:val="20"/>
    </w:rPr>
  </w:style>
  <w:style w:type="paragraph" w:styleId="TOC1">
    <w:name w:val="toc 1"/>
    <w:basedOn w:val="GHBodytext"/>
    <w:next w:val="Normal"/>
    <w:uiPriority w:val="39"/>
    <w:qFormat/>
    <w:rsid w:val="006A71F6"/>
    <w:pPr>
      <w:spacing w:before="120" w:after="0"/>
      <w:ind w:left="576" w:right="547" w:hanging="576"/>
    </w:pPr>
    <w:rPr>
      <w:b/>
    </w:rPr>
  </w:style>
  <w:style w:type="paragraph" w:styleId="TOC2">
    <w:name w:val="toc 2"/>
    <w:basedOn w:val="GHBodytext"/>
    <w:next w:val="Normal"/>
    <w:uiPriority w:val="39"/>
    <w:qFormat/>
    <w:rsid w:val="005B5704"/>
    <w:pPr>
      <w:tabs>
        <w:tab w:val="right" w:leader="dot" w:pos="9360"/>
      </w:tabs>
      <w:spacing w:after="0"/>
      <w:ind w:left="1008" w:right="547" w:hanging="576"/>
    </w:pPr>
  </w:style>
  <w:style w:type="paragraph" w:styleId="TOC3">
    <w:name w:val="toc 3"/>
    <w:basedOn w:val="GHBodytext"/>
    <w:next w:val="Normal"/>
    <w:uiPriority w:val="39"/>
    <w:qFormat/>
    <w:rsid w:val="005B5704"/>
    <w:pPr>
      <w:tabs>
        <w:tab w:val="right" w:leader="dot" w:pos="9360"/>
      </w:tabs>
      <w:spacing w:after="0"/>
      <w:ind w:left="1584" w:right="547" w:hanging="720"/>
    </w:pPr>
  </w:style>
  <w:style w:type="paragraph" w:styleId="TOC4">
    <w:name w:val="toc 4"/>
    <w:basedOn w:val="GHBodytext"/>
    <w:next w:val="Normal"/>
    <w:uiPriority w:val="39"/>
    <w:qFormat/>
    <w:rsid w:val="005B5704"/>
    <w:pPr>
      <w:tabs>
        <w:tab w:val="right" w:leader="dot" w:pos="9360"/>
      </w:tabs>
      <w:spacing w:after="0"/>
      <w:ind w:left="2304" w:right="547" w:hanging="864"/>
    </w:pPr>
  </w:style>
  <w:style w:type="paragraph" w:styleId="TOC5">
    <w:name w:val="toc 5"/>
    <w:basedOn w:val="GHBodytext"/>
    <w:next w:val="Normal"/>
    <w:uiPriority w:val="39"/>
    <w:qFormat/>
    <w:rsid w:val="005B5704"/>
    <w:pPr>
      <w:tabs>
        <w:tab w:val="right" w:leader="dot" w:pos="9360"/>
      </w:tabs>
      <w:spacing w:after="0"/>
      <w:ind w:left="3168" w:right="547" w:hanging="1008"/>
    </w:pPr>
  </w:style>
  <w:style w:type="paragraph" w:styleId="TableofFigures">
    <w:name w:val="table of figures"/>
    <w:basedOn w:val="GHBodytext"/>
    <w:next w:val="Normal"/>
    <w:uiPriority w:val="99"/>
    <w:qFormat/>
    <w:rsid w:val="00401CD5"/>
    <w:pPr>
      <w:tabs>
        <w:tab w:val="right" w:leader="dot" w:pos="9360"/>
      </w:tabs>
      <w:spacing w:after="0"/>
      <w:ind w:left="1008" w:right="547" w:hanging="1008"/>
    </w:pPr>
  </w:style>
  <w:style w:type="paragraph" w:customStyle="1" w:styleId="GHCoverLetterDate">
    <w:name w:val="GH_Cover_Letter_Date"/>
    <w:basedOn w:val="GHBodytext"/>
    <w:next w:val="GHCoverLetterAddress"/>
    <w:qFormat/>
    <w:rsid w:val="00DF0C0F"/>
    <w:pPr>
      <w:spacing w:after="720"/>
    </w:pPr>
  </w:style>
  <w:style w:type="paragraph" w:customStyle="1" w:styleId="GHCoverLetterAddress">
    <w:name w:val="GH_Cover_Letter_Address"/>
    <w:basedOn w:val="GHBodytext"/>
    <w:next w:val="GHCoverLetterSubjectLine"/>
    <w:rsid w:val="00763D5E"/>
    <w:pPr>
      <w:spacing w:after="0"/>
    </w:pPr>
  </w:style>
  <w:style w:type="paragraph" w:customStyle="1" w:styleId="GHCoverLetterSubjectLine">
    <w:name w:val="GH_Cover_Letter_Subject_Line"/>
    <w:basedOn w:val="GHBodytext"/>
    <w:next w:val="GHBodytext"/>
    <w:qFormat/>
    <w:rsid w:val="006A71F6"/>
    <w:pPr>
      <w:spacing w:before="240" w:after="240"/>
      <w:ind w:left="1008" w:hanging="1008"/>
    </w:pPr>
    <w:rPr>
      <w:b/>
    </w:rPr>
  </w:style>
  <w:style w:type="paragraph" w:customStyle="1" w:styleId="ProvidedTo-By">
    <w:name w:val="Provided To-By"/>
    <w:basedOn w:val="AgencyTitle"/>
    <w:qFormat/>
    <w:rsid w:val="005D53EC"/>
    <w:rPr>
      <w:sz w:val="16"/>
    </w:rPr>
  </w:style>
  <w:style w:type="paragraph" w:customStyle="1" w:styleId="AgencyTitle">
    <w:name w:val="Agency Title"/>
    <w:basedOn w:val="GHBodytext"/>
    <w:rsid w:val="008D5EDD"/>
    <w:pPr>
      <w:spacing w:after="0"/>
    </w:pPr>
  </w:style>
  <w:style w:type="paragraph" w:customStyle="1" w:styleId="GHNumberLevel1Indent">
    <w:name w:val="GH_NumberLevel_1_Indent"/>
    <w:basedOn w:val="GHBodytext"/>
    <w:rsid w:val="001E7580"/>
    <w:pPr>
      <w:ind w:left="461"/>
    </w:pPr>
  </w:style>
  <w:style w:type="paragraph" w:customStyle="1" w:styleId="GHNumberLevel2Indent">
    <w:name w:val="GH_NumberLevel_2_Indent"/>
    <w:basedOn w:val="GHBodytext"/>
    <w:rsid w:val="001E7580"/>
    <w:pPr>
      <w:ind w:left="720"/>
    </w:pPr>
  </w:style>
  <w:style w:type="paragraph" w:customStyle="1" w:styleId="GHNumberLevel3Indent">
    <w:name w:val="GH_NumberLevel_3_Indent"/>
    <w:basedOn w:val="GHBodytext"/>
    <w:rsid w:val="001E7580"/>
    <w:pPr>
      <w:ind w:left="1152"/>
    </w:pPr>
  </w:style>
  <w:style w:type="paragraph" w:customStyle="1" w:styleId="GHTableBullet1Indent">
    <w:name w:val="GH_TableBullet1_Indent"/>
    <w:basedOn w:val="GHTablebody"/>
    <w:rsid w:val="00FF43CA"/>
    <w:pPr>
      <w:ind w:left="173"/>
    </w:pPr>
  </w:style>
  <w:style w:type="paragraph" w:customStyle="1" w:styleId="GHTableBullet2Indent">
    <w:name w:val="GH_TableBullet2_Indent"/>
    <w:basedOn w:val="GHTablebody"/>
    <w:rsid w:val="00FF43CA"/>
    <w:pPr>
      <w:ind w:left="346"/>
    </w:pPr>
  </w:style>
  <w:style w:type="paragraph" w:customStyle="1" w:styleId="GHTableBullet3Indent">
    <w:name w:val="GH_TableBullet3_Indent"/>
    <w:basedOn w:val="GHTablebody"/>
    <w:rsid w:val="00FF43CA"/>
    <w:pPr>
      <w:ind w:left="518"/>
    </w:pPr>
  </w:style>
  <w:style w:type="paragraph" w:customStyle="1" w:styleId="AgencySub-Title">
    <w:name w:val="Agency Sub-Title"/>
    <w:basedOn w:val="AgencyTitle"/>
    <w:rsid w:val="007A3C7E"/>
    <w:pPr>
      <w:framePr w:wrap="around" w:hAnchor="text"/>
    </w:pPr>
  </w:style>
  <w:style w:type="paragraph" w:customStyle="1" w:styleId="SolicitationNumber">
    <w:name w:val="Solicitation Number"/>
    <w:basedOn w:val="AgencyTitle"/>
    <w:rsid w:val="003306AD"/>
    <w:pPr>
      <w:framePr w:wrap="around" w:hAnchor="text"/>
    </w:pPr>
  </w:style>
  <w:style w:type="paragraph" w:customStyle="1" w:styleId="ProposalTitle">
    <w:name w:val="Proposal Title"/>
    <w:basedOn w:val="AgencyTitle"/>
    <w:rsid w:val="005D53EC"/>
    <w:pPr>
      <w:spacing w:after="240"/>
    </w:pPr>
    <w:rPr>
      <w:b/>
      <w:sz w:val="44"/>
    </w:rPr>
  </w:style>
  <w:style w:type="paragraph" w:customStyle="1" w:styleId="ProposalSub-Title">
    <w:name w:val="Proposal Sub-Title"/>
    <w:basedOn w:val="AgencyTitle"/>
    <w:rsid w:val="0033628D"/>
    <w:rPr>
      <w:sz w:val="32"/>
    </w:rPr>
  </w:style>
  <w:style w:type="paragraph" w:customStyle="1" w:styleId="ProposalVolumeNumber">
    <w:name w:val="Proposal Volume Number"/>
    <w:basedOn w:val="AgencyTitle"/>
    <w:rsid w:val="008D5EDD"/>
    <w:pPr>
      <w:spacing w:after="240"/>
    </w:pPr>
    <w:rPr>
      <w:sz w:val="32"/>
    </w:rPr>
  </w:style>
  <w:style w:type="paragraph" w:customStyle="1" w:styleId="ProposalDueDate">
    <w:name w:val="Proposal Due Date"/>
    <w:basedOn w:val="AgencyTitle"/>
    <w:rsid w:val="005D53EC"/>
    <w:pPr>
      <w:framePr w:wrap="around" w:hAnchor="text"/>
    </w:pPr>
    <w:rPr>
      <w:sz w:val="32"/>
    </w:rPr>
  </w:style>
  <w:style w:type="paragraph" w:customStyle="1" w:styleId="TitlepageRestriction">
    <w:name w:val="Titlepage_Restriction"/>
    <w:basedOn w:val="AgencyTitle"/>
    <w:rsid w:val="005D53EC"/>
    <w:rPr>
      <w:sz w:val="16"/>
    </w:rPr>
  </w:style>
  <w:style w:type="paragraph" w:customStyle="1" w:styleId="GHTableNumberLevel1">
    <w:name w:val="GH_TableNumberLevel_1"/>
    <w:basedOn w:val="GHTablebody"/>
    <w:rsid w:val="00AC3386"/>
    <w:pPr>
      <w:numPr>
        <w:numId w:val="13"/>
      </w:numPr>
      <w:tabs>
        <w:tab w:val="clear" w:pos="720"/>
      </w:tabs>
      <w:ind w:left="288" w:hanging="288"/>
    </w:pPr>
  </w:style>
  <w:style w:type="paragraph" w:customStyle="1" w:styleId="GHTableNumberLevel2">
    <w:name w:val="GH_TableNumberLevel_2"/>
    <w:basedOn w:val="GHTablebody"/>
    <w:rsid w:val="00AC3386"/>
    <w:pPr>
      <w:numPr>
        <w:numId w:val="14"/>
      </w:numPr>
      <w:tabs>
        <w:tab w:val="clear" w:pos="720"/>
      </w:tabs>
      <w:ind w:left="576" w:hanging="288"/>
    </w:pPr>
  </w:style>
  <w:style w:type="paragraph" w:customStyle="1" w:styleId="GHTableNumberLevel3">
    <w:name w:val="GH_TableNumberLevel_3"/>
    <w:basedOn w:val="GHTablebody"/>
    <w:rsid w:val="00B24D6B"/>
    <w:pPr>
      <w:numPr>
        <w:numId w:val="15"/>
      </w:numPr>
    </w:pPr>
  </w:style>
  <w:style w:type="paragraph" w:customStyle="1" w:styleId="GHTableNumberLevel1Indent">
    <w:name w:val="GH_TableNumberLevel_1_Indent"/>
    <w:basedOn w:val="GHTablebody"/>
    <w:rsid w:val="00B24D6B"/>
    <w:pPr>
      <w:ind w:left="288"/>
    </w:pPr>
  </w:style>
  <w:style w:type="paragraph" w:customStyle="1" w:styleId="GHTableNumberLevel2Indent">
    <w:name w:val="GH_TableNumberLevel_2_Indent"/>
    <w:basedOn w:val="GHTablebody"/>
    <w:rsid w:val="00B24D6B"/>
    <w:pPr>
      <w:ind w:left="576"/>
    </w:pPr>
  </w:style>
  <w:style w:type="paragraph" w:customStyle="1" w:styleId="GHTableNumberLevel3Indent">
    <w:name w:val="GH_TableNumberLevel_3_Indent"/>
    <w:basedOn w:val="GHTablebody"/>
    <w:rsid w:val="00B24D6B"/>
    <w:pPr>
      <w:ind w:left="792"/>
    </w:pPr>
  </w:style>
  <w:style w:type="character" w:styleId="PlaceholderText">
    <w:name w:val="Placeholder Text"/>
    <w:basedOn w:val="DefaultParagraphFont"/>
    <w:uiPriority w:val="99"/>
    <w:semiHidden/>
    <w:rsid w:val="00E76E29"/>
    <w:rPr>
      <w:color w:val="808080"/>
    </w:rPr>
  </w:style>
  <w:style w:type="character" w:styleId="Hyperlink">
    <w:name w:val="Hyperlink"/>
    <w:basedOn w:val="DefaultParagraphFont"/>
    <w:uiPriority w:val="99"/>
    <w:rsid w:val="00570B7F"/>
    <w:rPr>
      <w:color w:val="0000FF"/>
      <w:u w:val="single"/>
    </w:rPr>
  </w:style>
  <w:style w:type="paragraph" w:styleId="BalloonText">
    <w:name w:val="Balloon Text"/>
    <w:basedOn w:val="Normal"/>
    <w:link w:val="BalloonTextChar"/>
    <w:rsid w:val="00E9738A"/>
    <w:pPr>
      <w:spacing w:before="0" w:after="0"/>
    </w:pPr>
    <w:rPr>
      <w:rFonts w:ascii="Tahoma" w:hAnsi="Tahoma" w:cs="Tahoma"/>
      <w:sz w:val="16"/>
      <w:szCs w:val="16"/>
    </w:rPr>
  </w:style>
  <w:style w:type="character" w:customStyle="1" w:styleId="BalloonTextChar">
    <w:name w:val="Balloon Text Char"/>
    <w:basedOn w:val="DefaultParagraphFont"/>
    <w:link w:val="BalloonText"/>
    <w:rsid w:val="00E9738A"/>
    <w:rPr>
      <w:rFonts w:ascii="Tahoma" w:hAnsi="Tahoma" w:cs="Tahoma"/>
      <w:sz w:val="16"/>
      <w:szCs w:val="16"/>
    </w:rPr>
  </w:style>
  <w:style w:type="paragraph" w:customStyle="1" w:styleId="GHTOC">
    <w:name w:val="GH_TOC"/>
    <w:basedOn w:val="Heading1"/>
    <w:qFormat/>
    <w:rsid w:val="00942DBA"/>
    <w:pPr>
      <w:numPr>
        <w:numId w:val="0"/>
      </w:numPr>
    </w:pPr>
  </w:style>
  <w:style w:type="paragraph" w:customStyle="1" w:styleId="TermsandConditions">
    <w:name w:val="Terms and Conditions"/>
    <w:basedOn w:val="GHBodytext"/>
    <w:qFormat/>
    <w:rsid w:val="002A423E"/>
    <w:pPr>
      <w:pageBreakBefore/>
    </w:pPr>
    <w:rPr>
      <w:color w:val="FF0000"/>
      <w:sz w:val="36"/>
    </w:rPr>
  </w:style>
  <w:style w:type="paragraph" w:customStyle="1" w:styleId="GHBodytextHeading">
    <w:name w:val="GH_Bodytext_Heading"/>
    <w:basedOn w:val="GHBodytext"/>
    <w:next w:val="GHBodytext"/>
    <w:qFormat/>
    <w:rsid w:val="006A71F6"/>
    <w:rPr>
      <w:b/>
    </w:rPr>
  </w:style>
  <w:style w:type="paragraph" w:customStyle="1" w:styleId="GHTablenote">
    <w:name w:val="GH_Tablenote"/>
    <w:basedOn w:val="GHTablebody"/>
    <w:qFormat/>
    <w:rsid w:val="00684047"/>
    <w:rPr>
      <w:i/>
    </w:rPr>
  </w:style>
  <w:style w:type="table" w:styleId="TableGrid">
    <w:name w:val="Table Grid"/>
    <w:aliases w:val="Deloitte Table Grid,Table Definitions Grid,Table Definitions Grid1,SAP New Branding Table Style,Smart Text Table,Table Definitions Grid2,Table Definitions Grid11,Table Definitions Grid3,Table Definitions Grid12,Value Add Box,Deloitte1"/>
    <w:basedOn w:val="TableNormal"/>
    <w:qFormat/>
    <w:rsid w:val="00031B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SectionLorInstructions">
    <w:name w:val="A_Section L or Instructions"/>
    <w:basedOn w:val="GHBodytext"/>
    <w:qFormat/>
    <w:rsid w:val="00B63166"/>
    <w:rPr>
      <w:color w:val="00B050"/>
    </w:rPr>
  </w:style>
  <w:style w:type="paragraph" w:customStyle="1" w:styleId="ASectionMorEvaluationCriteria">
    <w:name w:val="A_Section M or Evaluation Criteria"/>
    <w:basedOn w:val="GHBodytext"/>
    <w:qFormat/>
    <w:rsid w:val="00495932"/>
    <w:rPr>
      <w:color w:val="0070C0"/>
    </w:rPr>
  </w:style>
  <w:style w:type="paragraph" w:customStyle="1" w:styleId="ASectionCorSOWPWS">
    <w:name w:val="A_Section C or SOW/PWS"/>
    <w:basedOn w:val="GHBodytext"/>
    <w:qFormat/>
    <w:rsid w:val="00495932"/>
    <w:rPr>
      <w:color w:val="7030A0"/>
    </w:rPr>
  </w:style>
  <w:style w:type="paragraph" w:customStyle="1" w:styleId="GHBodytext6Before">
    <w:name w:val="GH_Bodytext 6 Before"/>
    <w:basedOn w:val="GHBodytext"/>
    <w:next w:val="GHBodytext"/>
    <w:qFormat/>
    <w:rsid w:val="004D1018"/>
    <w:pPr>
      <w:spacing w:before="80"/>
    </w:pPr>
  </w:style>
  <w:style w:type="paragraph" w:customStyle="1" w:styleId="GHTablesubheader">
    <w:name w:val="GH_Tablesubheader"/>
    <w:basedOn w:val="GHTableheader"/>
    <w:qFormat/>
    <w:rsid w:val="0019274B"/>
  </w:style>
  <w:style w:type="character" w:styleId="CommentReference">
    <w:name w:val="annotation reference"/>
    <w:basedOn w:val="DefaultParagraphFont"/>
    <w:semiHidden/>
    <w:unhideWhenUsed/>
    <w:rsid w:val="00C62116"/>
    <w:rPr>
      <w:sz w:val="16"/>
      <w:szCs w:val="16"/>
    </w:rPr>
  </w:style>
  <w:style w:type="paragraph" w:styleId="CommentText">
    <w:name w:val="annotation text"/>
    <w:basedOn w:val="Normal"/>
    <w:link w:val="CommentTextChar"/>
    <w:semiHidden/>
    <w:unhideWhenUsed/>
    <w:rsid w:val="00C62116"/>
    <w:rPr>
      <w:sz w:val="20"/>
      <w:szCs w:val="20"/>
    </w:rPr>
  </w:style>
  <w:style w:type="character" w:customStyle="1" w:styleId="CommentTextChar">
    <w:name w:val="Comment Text Char"/>
    <w:basedOn w:val="DefaultParagraphFont"/>
    <w:link w:val="CommentText"/>
    <w:semiHidden/>
    <w:rsid w:val="00C62116"/>
  </w:style>
  <w:style w:type="paragraph" w:styleId="CommentSubject">
    <w:name w:val="annotation subject"/>
    <w:basedOn w:val="CommentText"/>
    <w:next w:val="CommentText"/>
    <w:link w:val="CommentSubjectChar"/>
    <w:semiHidden/>
    <w:unhideWhenUsed/>
    <w:rsid w:val="00FB485A"/>
    <w:rPr>
      <w:b/>
      <w:bCs/>
    </w:rPr>
  </w:style>
  <w:style w:type="character" w:customStyle="1" w:styleId="CommentSubjectChar">
    <w:name w:val="Comment Subject Char"/>
    <w:basedOn w:val="CommentTextChar"/>
    <w:link w:val="CommentSubject"/>
    <w:semiHidden/>
    <w:rsid w:val="00FB485A"/>
    <w:rPr>
      <w:b/>
      <w:bCs/>
    </w:rPr>
  </w:style>
  <w:style w:type="paragraph" w:styleId="TOC6">
    <w:name w:val="toc 6"/>
    <w:basedOn w:val="Normal"/>
    <w:next w:val="Normal"/>
    <w:autoRedefine/>
    <w:uiPriority w:val="39"/>
    <w:unhideWhenUsed/>
    <w:rsid w:val="000B7E4A"/>
    <w:pPr>
      <w:spacing w:before="0" w:after="100" w:line="259"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0B7E4A"/>
    <w:pPr>
      <w:spacing w:before="0" w:after="100" w:line="259"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0B7E4A"/>
    <w:pPr>
      <w:spacing w:before="0" w:after="100" w:line="259"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0B7E4A"/>
    <w:pPr>
      <w:spacing w:before="0" w:after="100" w:line="259" w:lineRule="auto"/>
      <w:ind w:left="1760"/>
    </w:pPr>
    <w:rPr>
      <w:rFonts w:asciiTheme="minorHAnsi" w:eastAsiaTheme="minorEastAsia" w:hAnsiTheme="minorHAnsi" w:cstheme="minorBidi"/>
      <w:sz w:val="22"/>
      <w:szCs w:val="22"/>
    </w:rPr>
  </w:style>
  <w:style w:type="character" w:styleId="UnresolvedMention">
    <w:name w:val="Unresolved Mention"/>
    <w:basedOn w:val="DefaultParagraphFont"/>
    <w:uiPriority w:val="99"/>
    <w:semiHidden/>
    <w:unhideWhenUsed/>
    <w:rsid w:val="000B7E4A"/>
    <w:rPr>
      <w:color w:val="605E5C"/>
      <w:shd w:val="clear" w:color="auto" w:fill="E1DFDD"/>
    </w:rPr>
  </w:style>
  <w:style w:type="character" w:customStyle="1" w:styleId="Heading1Char">
    <w:name w:val="Heading 1 Char"/>
    <w:basedOn w:val="DefaultParagraphFont"/>
    <w:link w:val="Heading1"/>
    <w:rsid w:val="00553039"/>
    <w:rPr>
      <w:rFonts w:cs="Arial"/>
      <w:b/>
      <w:bCs/>
      <w:kern w:val="32"/>
      <w:sz w:val="32"/>
      <w:szCs w:val="32"/>
    </w:rPr>
  </w:style>
  <w:style w:type="paragraph" w:customStyle="1" w:styleId="GHPPandResTablesideheading">
    <w:name w:val="GH_PP and Res_Tablesideheading"/>
    <w:basedOn w:val="Normal"/>
    <w:rsid w:val="00553039"/>
    <w:pPr>
      <w:spacing w:before="0" w:after="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667820">
      <w:bodyDiv w:val="1"/>
      <w:marLeft w:val="0"/>
      <w:marRight w:val="0"/>
      <w:marTop w:val="0"/>
      <w:marBottom w:val="0"/>
      <w:divBdr>
        <w:top w:val="none" w:sz="0" w:space="0" w:color="auto"/>
        <w:left w:val="none" w:sz="0" w:space="0" w:color="auto"/>
        <w:bottom w:val="none" w:sz="0" w:space="0" w:color="auto"/>
        <w:right w:val="none" w:sz="0" w:space="0" w:color="auto"/>
      </w:divBdr>
    </w:div>
    <w:div w:id="1071151125">
      <w:bodyDiv w:val="1"/>
      <w:marLeft w:val="0"/>
      <w:marRight w:val="0"/>
      <w:marTop w:val="0"/>
      <w:marBottom w:val="0"/>
      <w:divBdr>
        <w:top w:val="none" w:sz="0" w:space="0" w:color="auto"/>
        <w:left w:val="none" w:sz="0" w:space="0" w:color="auto"/>
        <w:bottom w:val="none" w:sz="0" w:space="0" w:color="auto"/>
        <w:right w:val="none" w:sz="0" w:space="0" w:color="auto"/>
      </w:divBdr>
    </w:div>
    <w:div w:id="1133983933">
      <w:bodyDiv w:val="1"/>
      <w:marLeft w:val="0"/>
      <w:marRight w:val="0"/>
      <w:marTop w:val="0"/>
      <w:marBottom w:val="0"/>
      <w:divBdr>
        <w:top w:val="none" w:sz="0" w:space="0" w:color="auto"/>
        <w:left w:val="none" w:sz="0" w:space="0" w:color="auto"/>
        <w:bottom w:val="none" w:sz="0" w:space="0" w:color="auto"/>
        <w:right w:val="none" w:sz="0" w:space="0" w:color="auto"/>
      </w:divBdr>
    </w:div>
    <w:div w:id="1188908131">
      <w:bodyDiv w:val="1"/>
      <w:marLeft w:val="0"/>
      <w:marRight w:val="0"/>
      <w:marTop w:val="0"/>
      <w:marBottom w:val="0"/>
      <w:divBdr>
        <w:top w:val="none" w:sz="0" w:space="0" w:color="auto"/>
        <w:left w:val="none" w:sz="0" w:space="0" w:color="auto"/>
        <w:bottom w:val="none" w:sz="0" w:space="0" w:color="auto"/>
        <w:right w:val="none" w:sz="0" w:space="0" w:color="auto"/>
      </w:divBdr>
    </w:div>
    <w:div w:id="1285037134">
      <w:bodyDiv w:val="1"/>
      <w:marLeft w:val="0"/>
      <w:marRight w:val="0"/>
      <w:marTop w:val="0"/>
      <w:marBottom w:val="0"/>
      <w:divBdr>
        <w:top w:val="none" w:sz="0" w:space="0" w:color="auto"/>
        <w:left w:val="none" w:sz="0" w:space="0" w:color="auto"/>
        <w:bottom w:val="none" w:sz="0" w:space="0" w:color="auto"/>
        <w:right w:val="none" w:sz="0" w:space="0" w:color="auto"/>
      </w:divBdr>
    </w:div>
    <w:div w:id="1356079180">
      <w:bodyDiv w:val="1"/>
      <w:marLeft w:val="0"/>
      <w:marRight w:val="0"/>
      <w:marTop w:val="0"/>
      <w:marBottom w:val="0"/>
      <w:divBdr>
        <w:top w:val="none" w:sz="0" w:space="0" w:color="auto"/>
        <w:left w:val="none" w:sz="0" w:space="0" w:color="auto"/>
        <w:bottom w:val="none" w:sz="0" w:space="0" w:color="auto"/>
        <w:right w:val="none" w:sz="0" w:space="0" w:color="auto"/>
      </w:divBdr>
    </w:div>
    <w:div w:id="1420758230">
      <w:bodyDiv w:val="1"/>
      <w:marLeft w:val="0"/>
      <w:marRight w:val="0"/>
      <w:marTop w:val="0"/>
      <w:marBottom w:val="0"/>
      <w:divBdr>
        <w:top w:val="none" w:sz="0" w:space="0" w:color="auto"/>
        <w:left w:val="none" w:sz="0" w:space="0" w:color="auto"/>
        <w:bottom w:val="none" w:sz="0" w:space="0" w:color="auto"/>
        <w:right w:val="none" w:sz="0" w:space="0" w:color="auto"/>
      </w:divBdr>
    </w:div>
    <w:div w:id="1504125478">
      <w:bodyDiv w:val="1"/>
      <w:marLeft w:val="0"/>
      <w:marRight w:val="0"/>
      <w:marTop w:val="0"/>
      <w:marBottom w:val="0"/>
      <w:divBdr>
        <w:top w:val="none" w:sz="0" w:space="0" w:color="auto"/>
        <w:left w:val="none" w:sz="0" w:space="0" w:color="auto"/>
        <w:bottom w:val="none" w:sz="0" w:space="0" w:color="auto"/>
        <w:right w:val="none" w:sz="0" w:space="0" w:color="auto"/>
      </w:divBdr>
    </w:div>
    <w:div w:id="1654482824">
      <w:bodyDiv w:val="1"/>
      <w:marLeft w:val="0"/>
      <w:marRight w:val="0"/>
      <w:marTop w:val="0"/>
      <w:marBottom w:val="0"/>
      <w:divBdr>
        <w:top w:val="none" w:sz="0" w:space="0" w:color="auto"/>
        <w:left w:val="none" w:sz="0" w:space="0" w:color="auto"/>
        <w:bottom w:val="none" w:sz="0" w:space="0" w:color="auto"/>
        <w:right w:val="none" w:sz="0" w:space="0" w:color="auto"/>
      </w:divBdr>
    </w:div>
    <w:div w:id="1719429156">
      <w:bodyDiv w:val="1"/>
      <w:marLeft w:val="0"/>
      <w:marRight w:val="0"/>
      <w:marTop w:val="0"/>
      <w:marBottom w:val="0"/>
      <w:divBdr>
        <w:top w:val="none" w:sz="0" w:space="0" w:color="auto"/>
        <w:left w:val="none" w:sz="0" w:space="0" w:color="auto"/>
        <w:bottom w:val="none" w:sz="0" w:space="0" w:color="auto"/>
        <w:right w:val="none" w:sz="0" w:space="0" w:color="auto"/>
      </w:divBdr>
    </w:div>
    <w:div w:id="21378696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image" Target="media/image1.png"/><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I:\Finance_1\AN%20-%20Analysis\1%20Deliverables\1%20FP,%20BI,%20AN%20-%20Financial%20Planning%20and%20Analysis\2020\09%20-%20September%20Close\Financial%20Resource%20Statement%20Sept%202020.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Notes xmlns="a878ff63-c5a5-475c-8707-e8c7a3b5799f" xsi:nil="true"/>
    <TargetClient xmlns="a878ff63-c5a5-475c-8707-e8c7a3b5799f" xsi:nil="true"/>
    <lcf76f155ced4ddcb4097134ff3c332f xmlns="a878ff63-c5a5-475c-8707-e8c7a3b5799f">
      <Terms xmlns="http://schemas.microsoft.com/office/infopath/2007/PartnerControls"/>
    </lcf76f155ced4ddcb4097134ff3c332f>
    <WorkingorComplete xmlns="a878ff63-c5a5-475c-8707-e8c7a3b5799f" xsi:nil="true"/>
    <f2bd199853b241bc9dc4bcb11e6ab877 xmlns="a878ff63-c5a5-475c-8707-e8c7a3b5799f">
      <Terms xmlns="http://schemas.microsoft.com/office/infopath/2007/PartnerControls"/>
    </f2bd199853b241bc9dc4bcb11e6ab877>
    <TaxCatchAll xmlns="767c8548-05a2-4e4e-9c55-3a0111555912" xsi:nil="true"/>
    <Pitch_x002f_Proposal xmlns="a878ff63-c5a5-475c-8707-e8c7a3b5799f" xsi:nil="true"/>
  </documentManagement>
</p:properties>
</file>

<file path=customXml/item2.xml><?xml version="1.0" encoding="utf-8"?>
<sisl xmlns:xsi="http://www.w3.org/2001/XMLSchema-instance" xmlns:xsd="http://www.w3.org/2001/XMLSchema" xmlns="http://www.boldonjames.com/2008/01/sie/internal/label" sislVersion="0" policy="c8d5760e-638a-47e8-9e2e-1226c2cb268d" origin="userSelected">
  <element uid="d4c905ba-ff4f-4c0a-a3e9-24585d173a55" value=""/>
</sisl>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0D70D4A2C144B429DE21404EFACEC0A" ma:contentTypeVersion="32" ma:contentTypeDescription="Create a new document." ma:contentTypeScope="" ma:versionID="a2c2a352be9e8c4cfae3c98cbebdb8d3">
  <xsd:schema xmlns:xsd="http://www.w3.org/2001/XMLSchema" xmlns:xs="http://www.w3.org/2001/XMLSchema" xmlns:p="http://schemas.microsoft.com/office/2006/metadata/properties" xmlns:ns2="a878ff63-c5a5-475c-8707-e8c7a3b5799f" xmlns:ns3="767c8548-05a2-4e4e-9c55-3a0111555912" targetNamespace="http://schemas.microsoft.com/office/2006/metadata/properties" ma:root="true" ma:fieldsID="20a4eb7b73e55c30b85851c99233402c" ns2:_="" ns3:_="">
    <xsd:import namespace="a878ff63-c5a5-475c-8707-e8c7a3b5799f"/>
    <xsd:import namespace="767c8548-05a2-4e4e-9c55-3a01115559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WorkingorComplete" minOccurs="0"/>
                <xsd:element ref="ns2:TargetClient" minOccurs="0"/>
                <xsd:element ref="ns2:f2bd199853b241bc9dc4bcb11e6ab877" minOccurs="0"/>
                <xsd:element ref="ns3:TaxCatchAll" minOccurs="0"/>
                <xsd:element ref="ns2:Pitch_x002f_Proposal"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8ff63-c5a5-475c-8707-e8c7a3b579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WorkingorComplete" ma:index="21" nillable="true" ma:displayName="Working or Complete" ma:format="Dropdown" ma:indexed="true" ma:internalName="WorkingorComplete">
      <xsd:simpleType>
        <xsd:restriction base="dms:Choice">
          <xsd:enumeration value="Working"/>
          <xsd:enumeration value="Complete"/>
        </xsd:restriction>
      </xsd:simpleType>
    </xsd:element>
    <xsd:element name="TargetClient" ma:index="22" nillable="true" ma:displayName="Target Client" ma:format="Dropdown" ma:list="fd8a36d3-6711-4ce5-a7cb-c7c5afedc5e9" ma:internalName="TargetClient" ma:showField="Title">
      <xsd:simpleType>
        <xsd:restriction base="dms:Lookup"/>
      </xsd:simpleType>
    </xsd:element>
    <xsd:element name="f2bd199853b241bc9dc4bcb11e6ab877" ma:index="24" nillable="true" ma:taxonomy="true" ma:internalName="f2bd199853b241bc9dc4bcb11e6ab877" ma:taxonomyFieldName="Solution" ma:displayName="Solution" ma:default="" ma:fieldId="{f2bd1998-53b2-41bc-9dc4-bcb11e6ab877}" ma:sspId="43fe8d3c-0f3e-402f-8378-068a6b534446" ma:termSetId="6944bb70-ae4d-41b3-9807-7ef88bcbed9e" ma:anchorId="00000000-0000-0000-0000-000000000000" ma:open="true" ma:isKeyword="false">
      <xsd:complexType>
        <xsd:sequence>
          <xsd:element ref="pc:Terms" minOccurs="0" maxOccurs="1"/>
        </xsd:sequence>
      </xsd:complexType>
    </xsd:element>
    <xsd:element name="Pitch_x002f_Proposal" ma:index="26" nillable="true" ma:displayName="Pitch/Proposal" ma:format="Dropdown" ma:internalName="Pitch_x002f_Proposal">
      <xsd:simpleType>
        <xsd:restriction base="dms:Choice">
          <xsd:enumeration value="Pitch"/>
          <xsd:enumeration value="Proposal"/>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3fe8d3c-0f3e-402f-8378-068a6b53444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7c8548-05a2-4e4e-9c55-3a01115559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9436b82-c064-468a-8888-d8d89353d75d}" ma:internalName="TaxCatchAll" ma:showField="CatchAllData" ma:web="767c8548-05a2-4e4e-9c55-3a0111555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6EDF662-3D3F-4996-A91F-2F3081DFDA2D}">
  <ds:schemaRefs>
    <ds:schemaRef ds:uri="http://schemas.microsoft.com/office/2006/metadata/properties"/>
    <ds:schemaRef ds:uri="http://schemas.microsoft.com/office/infopath/2007/PartnerControls"/>
    <ds:schemaRef ds:uri="42690b18-aace-4dc9-a89f-f40bccf3e294"/>
  </ds:schemaRefs>
</ds:datastoreItem>
</file>

<file path=customXml/itemProps2.xml><?xml version="1.0" encoding="utf-8"?>
<ds:datastoreItem xmlns:ds="http://schemas.openxmlformats.org/officeDocument/2006/customXml" ds:itemID="{0AF20319-B07F-4E50-84E9-7A826B6755DF}">
  <ds:schemaRefs>
    <ds:schemaRef ds:uri="http://www.w3.org/2001/XMLSchema"/>
    <ds:schemaRef ds:uri="http://www.boldonjames.com/2008/01/sie/internal/label"/>
  </ds:schemaRefs>
</ds:datastoreItem>
</file>

<file path=customXml/itemProps3.xml><?xml version="1.0" encoding="utf-8"?>
<ds:datastoreItem xmlns:ds="http://schemas.openxmlformats.org/officeDocument/2006/customXml" ds:itemID="{7FC11832-6188-4526-B4D7-8034EE4BC9ED}">
  <ds:schemaRefs>
    <ds:schemaRef ds:uri="http://schemas.microsoft.com/sharepoint/v3/contenttype/forms"/>
  </ds:schemaRefs>
</ds:datastoreItem>
</file>

<file path=customXml/itemProps4.xml><?xml version="1.0" encoding="utf-8"?>
<ds:datastoreItem xmlns:ds="http://schemas.openxmlformats.org/officeDocument/2006/customXml" ds:itemID="{87DD82A5-819C-4797-8BF1-0EB041BBC2FF}"/>
</file>

<file path=customXml/itemProps5.xml><?xml version="1.0" encoding="utf-8"?>
<ds:datastoreItem xmlns:ds="http://schemas.openxmlformats.org/officeDocument/2006/customXml" ds:itemID="{6405799E-896E-4F67-86DA-51CABBB4D6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Financial Resource Statement Sept 2020</Template>
  <TotalTime>1</TotalTime>
  <Pages>4</Pages>
  <Words>837</Words>
  <Characters>5262</Characters>
  <Application>Microsoft Office Word</Application>
  <DocSecurity>0</DocSecurity>
  <Lines>350</Lines>
  <Paragraphs>254</Paragraphs>
  <ScaleCrop>false</ScaleCrop>
  <HeadingPairs>
    <vt:vector size="2" baseType="variant">
      <vt:variant>
        <vt:lpstr>Title</vt:lpstr>
      </vt:variant>
      <vt:variant>
        <vt:i4>1</vt:i4>
      </vt:variant>
    </vt:vector>
  </HeadingPairs>
  <TitlesOfParts>
    <vt:vector size="1" baseType="lpstr">
      <vt:lpstr>Proposal Title</vt:lpstr>
    </vt:vector>
  </TitlesOfParts>
  <Company>Solicitation #</Company>
  <LinksUpToDate>false</LinksUpToDate>
  <CharactersWithSpaces>5845</CharactersWithSpaces>
  <SharedDoc>false</SharedDoc>
  <HLinks>
    <vt:vector size="78" baseType="variant">
      <vt:variant>
        <vt:i4>1048629</vt:i4>
      </vt:variant>
      <vt:variant>
        <vt:i4>106</vt:i4>
      </vt:variant>
      <vt:variant>
        <vt:i4>0</vt:i4>
      </vt:variant>
      <vt:variant>
        <vt:i4>5</vt:i4>
      </vt:variant>
      <vt:variant>
        <vt:lpwstr/>
      </vt:variant>
      <vt:variant>
        <vt:lpwstr>_Toc351402749</vt:lpwstr>
      </vt:variant>
      <vt:variant>
        <vt:i4>1507381</vt:i4>
      </vt:variant>
      <vt:variant>
        <vt:i4>97</vt:i4>
      </vt:variant>
      <vt:variant>
        <vt:i4>0</vt:i4>
      </vt:variant>
      <vt:variant>
        <vt:i4>5</vt:i4>
      </vt:variant>
      <vt:variant>
        <vt:lpwstr/>
      </vt:variant>
      <vt:variant>
        <vt:lpwstr>_Toc351402733</vt:lpwstr>
      </vt:variant>
      <vt:variant>
        <vt:i4>1966139</vt:i4>
      </vt:variant>
      <vt:variant>
        <vt:i4>88</vt:i4>
      </vt:variant>
      <vt:variant>
        <vt:i4>0</vt:i4>
      </vt:variant>
      <vt:variant>
        <vt:i4>5</vt:i4>
      </vt:variant>
      <vt:variant>
        <vt:lpwstr/>
      </vt:variant>
      <vt:variant>
        <vt:lpwstr>_Toc344992560</vt:lpwstr>
      </vt:variant>
      <vt:variant>
        <vt:i4>1900603</vt:i4>
      </vt:variant>
      <vt:variant>
        <vt:i4>82</vt:i4>
      </vt:variant>
      <vt:variant>
        <vt:i4>0</vt:i4>
      </vt:variant>
      <vt:variant>
        <vt:i4>5</vt:i4>
      </vt:variant>
      <vt:variant>
        <vt:lpwstr/>
      </vt:variant>
      <vt:variant>
        <vt:lpwstr>_Toc344992559</vt:lpwstr>
      </vt:variant>
      <vt:variant>
        <vt:i4>1900603</vt:i4>
      </vt:variant>
      <vt:variant>
        <vt:i4>76</vt:i4>
      </vt:variant>
      <vt:variant>
        <vt:i4>0</vt:i4>
      </vt:variant>
      <vt:variant>
        <vt:i4>5</vt:i4>
      </vt:variant>
      <vt:variant>
        <vt:lpwstr/>
      </vt:variant>
      <vt:variant>
        <vt:lpwstr>_Toc344992558</vt:lpwstr>
      </vt:variant>
      <vt:variant>
        <vt:i4>1900603</vt:i4>
      </vt:variant>
      <vt:variant>
        <vt:i4>70</vt:i4>
      </vt:variant>
      <vt:variant>
        <vt:i4>0</vt:i4>
      </vt:variant>
      <vt:variant>
        <vt:i4>5</vt:i4>
      </vt:variant>
      <vt:variant>
        <vt:lpwstr/>
      </vt:variant>
      <vt:variant>
        <vt:lpwstr>_Toc344992557</vt:lpwstr>
      </vt:variant>
      <vt:variant>
        <vt:i4>1900603</vt:i4>
      </vt:variant>
      <vt:variant>
        <vt:i4>64</vt:i4>
      </vt:variant>
      <vt:variant>
        <vt:i4>0</vt:i4>
      </vt:variant>
      <vt:variant>
        <vt:i4>5</vt:i4>
      </vt:variant>
      <vt:variant>
        <vt:lpwstr/>
      </vt:variant>
      <vt:variant>
        <vt:lpwstr>_Toc344992556</vt:lpwstr>
      </vt:variant>
      <vt:variant>
        <vt:i4>1900603</vt:i4>
      </vt:variant>
      <vt:variant>
        <vt:i4>58</vt:i4>
      </vt:variant>
      <vt:variant>
        <vt:i4>0</vt:i4>
      </vt:variant>
      <vt:variant>
        <vt:i4>5</vt:i4>
      </vt:variant>
      <vt:variant>
        <vt:lpwstr/>
      </vt:variant>
      <vt:variant>
        <vt:lpwstr>_Toc344992555</vt:lpwstr>
      </vt:variant>
      <vt:variant>
        <vt:i4>1900603</vt:i4>
      </vt:variant>
      <vt:variant>
        <vt:i4>52</vt:i4>
      </vt:variant>
      <vt:variant>
        <vt:i4>0</vt:i4>
      </vt:variant>
      <vt:variant>
        <vt:i4>5</vt:i4>
      </vt:variant>
      <vt:variant>
        <vt:lpwstr/>
      </vt:variant>
      <vt:variant>
        <vt:lpwstr>_Toc344992554</vt:lpwstr>
      </vt:variant>
      <vt:variant>
        <vt:i4>1900603</vt:i4>
      </vt:variant>
      <vt:variant>
        <vt:i4>46</vt:i4>
      </vt:variant>
      <vt:variant>
        <vt:i4>0</vt:i4>
      </vt:variant>
      <vt:variant>
        <vt:i4>5</vt:i4>
      </vt:variant>
      <vt:variant>
        <vt:lpwstr/>
      </vt:variant>
      <vt:variant>
        <vt:lpwstr>_Toc344992553</vt:lpwstr>
      </vt:variant>
      <vt:variant>
        <vt:i4>1900603</vt:i4>
      </vt:variant>
      <vt:variant>
        <vt:i4>40</vt:i4>
      </vt:variant>
      <vt:variant>
        <vt:i4>0</vt:i4>
      </vt:variant>
      <vt:variant>
        <vt:i4>5</vt:i4>
      </vt:variant>
      <vt:variant>
        <vt:lpwstr/>
      </vt:variant>
      <vt:variant>
        <vt:lpwstr>_Toc344992552</vt:lpwstr>
      </vt:variant>
      <vt:variant>
        <vt:i4>1900603</vt:i4>
      </vt:variant>
      <vt:variant>
        <vt:i4>34</vt:i4>
      </vt:variant>
      <vt:variant>
        <vt:i4>0</vt:i4>
      </vt:variant>
      <vt:variant>
        <vt:i4>5</vt:i4>
      </vt:variant>
      <vt:variant>
        <vt:lpwstr/>
      </vt:variant>
      <vt:variant>
        <vt:lpwstr>_Toc344992551</vt:lpwstr>
      </vt:variant>
      <vt:variant>
        <vt:i4>1900603</vt:i4>
      </vt:variant>
      <vt:variant>
        <vt:i4>28</vt:i4>
      </vt:variant>
      <vt:variant>
        <vt:i4>0</vt:i4>
      </vt:variant>
      <vt:variant>
        <vt:i4>5</vt:i4>
      </vt:variant>
      <vt:variant>
        <vt:lpwstr/>
      </vt:variant>
      <vt:variant>
        <vt:lpwstr>_Toc344992550</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Proposal Title</dc:title>
  <dc:subject>Proposal Sub-Title</dc:subject>
  <dc:creator>Nick Foster</dc:creator>
  <cp:keywords>[OSa:/b:/c:/d:/e:/f:/g:/h:/i:/j:/k:/l:/m:/n:/o:/p:/q:/r:/s:/t:/u:/v:/w:]</cp:keywords>
  <dc:description>This proposal includes data that shall not be disclosed outside the Agency Title and shall not be duplicated, used, or disclosed—in whole or in part—for any purpose other than to evaluate this proposal. However, if a contract is awarded to this offeror as a result of—or in connection with—the submission of these data, the Agency Title shall have the right to duplicate, use, or disclose the data to the extent provided in the resulting contract. This restriction does not limit the Agency Title’s right to use information contained in these data if they are obtained from another source without restriction. The data subject to this restriction are contained in all pages/sheets herein.</dc:description>
  <cp:lastModifiedBy>Job Goddard</cp:lastModifiedBy>
  <cp:revision>2</cp:revision>
  <dcterms:created xsi:type="dcterms:W3CDTF">2022-10-11T15:11:00Z</dcterms:created>
  <dcterms:modified xsi:type="dcterms:W3CDTF">2022-10-11T15:11:00Z</dcterms:modified>
  <cp:category>Agency Title</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IndexRef">
    <vt:lpwstr>82895d97-31ea-4365-9fb6-a6d9ef7ba2c2</vt:lpwstr>
  </property>
  <property fmtid="{D5CDD505-2E9C-101B-9397-08002B2CF9AE}" pid="3" name="bjDocumentLabelXML">
    <vt:lpwstr>&lt;?xml version="1.0" encoding="us-ascii"?&gt;&lt;sisl xmlns:xsi="http://www.w3.org/2001/XMLSchema-instance" xmlns:xsd="http://www.w3.org/2001/XMLSchema" sislVersion="0" policy="c8d5760e-638a-47e8-9e2e-1226c2cb268d" origin="userSelected" xmlns="http://www.boldonj</vt:lpwstr>
  </property>
  <property fmtid="{D5CDD505-2E9C-101B-9397-08002B2CF9AE}" pid="4" name="bjDocumentLabelXML-0">
    <vt:lpwstr>ames.com/2008/01/sie/internal/label"&gt;&lt;element uid="d4c905ba-ff4f-4c0a-a3e9-24585d173a55" value="" /&gt;&lt;/sisl&gt;</vt:lpwstr>
  </property>
  <property fmtid="{D5CDD505-2E9C-101B-9397-08002B2CF9AE}" pid="5" name="bjDocumentSecurityLabel">
    <vt:lpwstr>OUTSIDE SOURCE</vt:lpwstr>
  </property>
  <property fmtid="{D5CDD505-2E9C-101B-9397-08002B2CF9AE}" pid="6" name="bjSaver">
    <vt:lpwstr>p4/PL7OLjxDXB7hOe1ybwWZCGxVm09M1</vt:lpwstr>
  </property>
  <property fmtid="{D5CDD505-2E9C-101B-9397-08002B2CF9AE}" pid="7" name="ContentTypeId">
    <vt:lpwstr>0x0101004B6922D2B9819943B7B79C33C3E6FACC</vt:lpwstr>
  </property>
  <property fmtid="{D5CDD505-2E9C-101B-9397-08002B2CF9AE}" pid="8" name="Modified_x0020_By">
    <vt:lpwstr/>
  </property>
  <property fmtid="{D5CDD505-2E9C-101B-9397-08002B2CF9AE}" pid="9" name="Created By">
    <vt:lpwstr/>
  </property>
  <property fmtid="{D5CDD505-2E9C-101B-9397-08002B2CF9AE}" pid="10" name="Modified By">
    <vt:lpwstr/>
  </property>
  <property fmtid="{D5CDD505-2E9C-101B-9397-08002B2CF9AE}" pid="11" name="Created_x0020_By">
    <vt:lpwstr/>
  </property>
</Properties>
</file>